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auto"/>
        <w:jc w:val="left"/>
        <w:rPr>
          <w:rFonts w:hint="default" w:ascii="仿宋_GB2312" w:hAnsi="仿宋_GB2312" w:eastAsia="仿宋_GB2312" w:cs="仿宋_GB2312"/>
          <w:b/>
          <w:color w:val="auto"/>
          <w:highlight w:val="none"/>
          <w:lang w:val="en-US" w:eastAsia="zh-CN"/>
        </w:rPr>
      </w:pPr>
      <w:bookmarkStart w:id="0" w:name="_Toc12829"/>
      <w:r>
        <w:rPr>
          <w:rFonts w:hint="eastAsia" w:ascii="仿宋_GB2312" w:hAnsi="仿宋_GB2312" w:eastAsia="仿宋_GB2312" w:cs="仿宋_GB2312"/>
          <w:b/>
          <w:color w:val="auto"/>
          <w:highlight w:val="none"/>
        </w:rPr>
        <w:t>项目编号：</w:t>
      </w:r>
      <w:bookmarkEnd w:id="0"/>
      <w:r>
        <w:rPr>
          <w:rFonts w:hint="eastAsia" w:ascii="仿宋_GB2312" w:hAnsi="仿宋_GB2312" w:eastAsia="仿宋_GB2312" w:cs="仿宋_GB2312"/>
          <w:b/>
          <w:color w:val="auto"/>
          <w:highlight w:val="none"/>
        </w:rPr>
        <w:t>DTCGJT-20240</w:t>
      </w:r>
      <w:r>
        <w:rPr>
          <w:rFonts w:hint="eastAsia" w:ascii="仿宋_GB2312" w:hAnsi="仿宋_GB2312" w:eastAsia="仿宋_GB2312" w:cs="仿宋_GB2312"/>
          <w:b/>
          <w:color w:val="auto"/>
          <w:highlight w:val="none"/>
          <w:lang w:val="en-US" w:eastAsia="zh-CN"/>
        </w:rPr>
        <w:t>911</w:t>
      </w:r>
    </w:p>
    <w:p>
      <w:pPr>
        <w:spacing w:line="600" w:lineRule="auto"/>
        <w:ind w:left="1590" w:hanging="1590" w:hangingChars="495"/>
        <w:rPr>
          <w:rFonts w:hint="eastAsia" w:ascii="仿宋_GB2312" w:hAnsi="仿宋_GB2312" w:eastAsia="仿宋_GB2312" w:cs="仿宋_GB2312"/>
          <w:b/>
          <w:color w:val="auto"/>
          <w:highlight w:val="none"/>
          <w:lang w:val="en-US" w:eastAsia="zh-CN"/>
        </w:rPr>
      </w:pPr>
      <w:bookmarkStart w:id="1" w:name="_Toc10636"/>
      <w:r>
        <w:rPr>
          <w:rFonts w:hint="eastAsia" w:ascii="仿宋_GB2312" w:hAnsi="仿宋_GB2312" w:eastAsia="仿宋_GB2312" w:cs="仿宋_GB2312"/>
          <w:b/>
          <w:color w:val="auto"/>
          <w:highlight w:val="none"/>
        </w:rPr>
        <w:t>项目名称：</w:t>
      </w:r>
      <w:bookmarkEnd w:id="1"/>
      <w:r>
        <w:rPr>
          <w:rFonts w:hint="eastAsia" w:ascii="仿宋_GB2312" w:hAnsi="仿宋_GB2312" w:eastAsia="仿宋_GB2312" w:cs="仿宋_GB2312"/>
          <w:b/>
          <w:color w:val="auto"/>
          <w:highlight w:val="none"/>
          <w:lang w:val="en-US" w:eastAsia="zh-CN"/>
        </w:rPr>
        <w:t>达州东部经开区生态智慧城综合开发建设项目（供水工程-任家咀取水泵房）航道通航条件影响评价报告编制服务</w:t>
      </w:r>
      <w:bookmarkStart w:id="2" w:name="_Toc9207"/>
    </w:p>
    <w:p>
      <w:pPr>
        <w:spacing w:line="600" w:lineRule="auto"/>
        <w:ind w:left="1590" w:hanging="1590" w:hangingChars="495"/>
        <w:rPr>
          <w:rFonts w:hint="eastAsia" w:ascii="仿宋_GB2312" w:hAnsi="仿宋_GB2312" w:eastAsia="仿宋_GB2312" w:cs="仿宋_GB2312"/>
          <w:b/>
          <w:color w:val="auto"/>
          <w:highlight w:val="none"/>
          <w:lang w:val="en-US" w:eastAsia="zh-CN"/>
        </w:rPr>
      </w:pPr>
    </w:p>
    <w:p>
      <w:pPr>
        <w:jc w:val="center"/>
        <w:rPr>
          <w:rFonts w:ascii="方正小标宋简体" w:hAnsi="方正小标宋简体" w:eastAsia="方正小标宋简体" w:cs="方正小标宋简体"/>
          <w:bCs/>
          <w:color w:val="auto"/>
          <w:sz w:val="52"/>
          <w:szCs w:val="52"/>
          <w:highlight w:val="none"/>
        </w:rPr>
      </w:pPr>
      <w:r>
        <w:rPr>
          <w:rFonts w:hint="eastAsia" w:ascii="方正小标宋简体" w:hAnsi="方正小标宋简体" w:eastAsia="方正小标宋简体" w:cs="方正小标宋简体"/>
          <w:bCs/>
          <w:color w:val="auto"/>
          <w:sz w:val="52"/>
          <w:szCs w:val="52"/>
          <w:highlight w:val="none"/>
        </w:rPr>
        <w:t>竞</w:t>
      </w:r>
      <w:bookmarkEnd w:id="2"/>
    </w:p>
    <w:p>
      <w:pPr>
        <w:jc w:val="center"/>
        <w:rPr>
          <w:rFonts w:ascii="方正小标宋简体" w:hAnsi="方正小标宋简体" w:eastAsia="方正小标宋简体" w:cs="方正小标宋简体"/>
          <w:bCs/>
          <w:color w:val="auto"/>
          <w:sz w:val="52"/>
          <w:szCs w:val="52"/>
          <w:highlight w:val="none"/>
        </w:rPr>
      </w:pPr>
      <w:bookmarkStart w:id="3" w:name="_Toc30655"/>
      <w:r>
        <w:rPr>
          <w:rFonts w:hint="eastAsia" w:ascii="方正小标宋简体" w:hAnsi="方正小标宋简体" w:eastAsia="方正小标宋简体" w:cs="方正小标宋简体"/>
          <w:bCs/>
          <w:color w:val="auto"/>
          <w:sz w:val="52"/>
          <w:szCs w:val="52"/>
          <w:highlight w:val="none"/>
        </w:rPr>
        <w:t>争</w:t>
      </w:r>
      <w:bookmarkEnd w:id="3"/>
    </w:p>
    <w:p>
      <w:pPr>
        <w:jc w:val="center"/>
        <w:rPr>
          <w:rFonts w:ascii="方正小标宋简体" w:hAnsi="方正小标宋简体" w:eastAsia="方正小标宋简体" w:cs="方正小标宋简体"/>
          <w:bCs/>
          <w:color w:val="auto"/>
          <w:sz w:val="52"/>
          <w:szCs w:val="52"/>
          <w:highlight w:val="none"/>
        </w:rPr>
      </w:pPr>
      <w:bookmarkStart w:id="4" w:name="_Toc17339"/>
      <w:r>
        <w:rPr>
          <w:rFonts w:hint="eastAsia" w:ascii="方正小标宋简体" w:hAnsi="方正小标宋简体" w:eastAsia="方正小标宋简体" w:cs="方正小标宋简体"/>
          <w:bCs/>
          <w:color w:val="auto"/>
          <w:sz w:val="52"/>
          <w:szCs w:val="52"/>
          <w:highlight w:val="none"/>
        </w:rPr>
        <w:t>性</w:t>
      </w:r>
      <w:bookmarkEnd w:id="4"/>
    </w:p>
    <w:p>
      <w:pPr>
        <w:jc w:val="center"/>
        <w:rPr>
          <w:rFonts w:ascii="方正小标宋简体" w:hAnsi="方正小标宋简体" w:eastAsia="方正小标宋简体" w:cs="方正小标宋简体"/>
          <w:bCs/>
          <w:color w:val="auto"/>
          <w:sz w:val="52"/>
          <w:szCs w:val="52"/>
          <w:highlight w:val="none"/>
        </w:rPr>
      </w:pPr>
      <w:bookmarkStart w:id="5" w:name="_Toc6268"/>
      <w:r>
        <w:rPr>
          <w:rFonts w:hint="eastAsia" w:ascii="方正小标宋简体" w:hAnsi="方正小标宋简体" w:eastAsia="方正小标宋简体" w:cs="方正小标宋简体"/>
          <w:bCs/>
          <w:color w:val="auto"/>
          <w:sz w:val="52"/>
          <w:szCs w:val="52"/>
          <w:highlight w:val="none"/>
        </w:rPr>
        <w:t>谈</w:t>
      </w:r>
      <w:bookmarkEnd w:id="5"/>
    </w:p>
    <w:p>
      <w:pPr>
        <w:jc w:val="center"/>
        <w:rPr>
          <w:rFonts w:ascii="方正小标宋简体" w:hAnsi="方正小标宋简体" w:eastAsia="方正小标宋简体" w:cs="方正小标宋简体"/>
          <w:bCs/>
          <w:color w:val="auto"/>
          <w:sz w:val="52"/>
          <w:szCs w:val="52"/>
          <w:highlight w:val="none"/>
        </w:rPr>
      </w:pPr>
      <w:bookmarkStart w:id="6" w:name="_Toc1037"/>
      <w:r>
        <w:rPr>
          <w:rFonts w:hint="eastAsia" w:ascii="方正小标宋简体" w:hAnsi="方正小标宋简体" w:eastAsia="方正小标宋简体" w:cs="方正小标宋简体"/>
          <w:bCs/>
          <w:color w:val="auto"/>
          <w:sz w:val="52"/>
          <w:szCs w:val="52"/>
          <w:highlight w:val="none"/>
        </w:rPr>
        <w:t>判</w:t>
      </w:r>
      <w:bookmarkEnd w:id="6"/>
    </w:p>
    <w:p>
      <w:pPr>
        <w:jc w:val="center"/>
        <w:rPr>
          <w:rFonts w:ascii="方正小标宋简体" w:hAnsi="方正小标宋简体" w:eastAsia="方正小标宋简体" w:cs="方正小标宋简体"/>
          <w:bCs/>
          <w:color w:val="auto"/>
          <w:sz w:val="52"/>
          <w:szCs w:val="52"/>
          <w:highlight w:val="none"/>
        </w:rPr>
      </w:pPr>
      <w:bookmarkStart w:id="7" w:name="_Toc2065"/>
      <w:r>
        <w:rPr>
          <w:rFonts w:hint="eastAsia" w:ascii="方正小标宋简体" w:hAnsi="方正小标宋简体" w:eastAsia="方正小标宋简体" w:cs="方正小标宋简体"/>
          <w:bCs/>
          <w:color w:val="auto"/>
          <w:sz w:val="52"/>
          <w:szCs w:val="52"/>
          <w:highlight w:val="none"/>
        </w:rPr>
        <w:t>文</w:t>
      </w:r>
      <w:bookmarkEnd w:id="7"/>
    </w:p>
    <w:p>
      <w:pPr>
        <w:jc w:val="center"/>
        <w:rPr>
          <w:rFonts w:ascii="方正小标宋简体" w:hAnsi="方正小标宋简体" w:eastAsia="方正小标宋简体" w:cs="方正小标宋简体"/>
          <w:bCs/>
          <w:color w:val="auto"/>
          <w:sz w:val="52"/>
          <w:szCs w:val="52"/>
          <w:highlight w:val="none"/>
        </w:rPr>
      </w:pPr>
      <w:bookmarkStart w:id="8" w:name="_Toc23378"/>
      <w:r>
        <w:rPr>
          <w:rFonts w:hint="eastAsia" w:ascii="方正小标宋简体" w:hAnsi="方正小标宋简体" w:eastAsia="方正小标宋简体" w:cs="方正小标宋简体"/>
          <w:bCs/>
          <w:color w:val="auto"/>
          <w:sz w:val="52"/>
          <w:szCs w:val="52"/>
          <w:highlight w:val="none"/>
        </w:rPr>
        <w:t>件</w:t>
      </w:r>
      <w:bookmarkEnd w:id="8"/>
    </w:p>
    <w:p>
      <w:pPr>
        <w:jc w:val="center"/>
        <w:rPr>
          <w:rFonts w:ascii="方正小标宋简体" w:hAnsi="方正小标宋简体" w:eastAsia="方正小标宋简体" w:cs="方正小标宋简体"/>
          <w:bCs/>
          <w:color w:val="auto"/>
          <w:sz w:val="44"/>
          <w:szCs w:val="44"/>
          <w:highlight w:val="none"/>
        </w:rPr>
      </w:pPr>
    </w:p>
    <w:p>
      <w:pPr>
        <w:spacing w:line="360" w:lineRule="auto"/>
        <w:jc w:val="center"/>
        <w:rPr>
          <w:rFonts w:ascii="方正小标宋简体" w:hAnsi="方正小标宋简体" w:eastAsia="方正小标宋简体" w:cs="方正小标宋简体"/>
          <w:bCs/>
          <w:color w:val="auto"/>
          <w:highlight w:val="none"/>
        </w:rPr>
      </w:pPr>
      <w:r>
        <w:rPr>
          <w:rFonts w:hint="eastAsia" w:ascii="方正小标宋简体" w:hAnsi="方正小标宋简体" w:eastAsia="方正小标宋简体" w:cs="方正小标宋简体"/>
          <w:bCs/>
          <w:color w:val="auto"/>
          <w:highlight w:val="none"/>
        </w:rPr>
        <w:t>达州市投资有限公司</w:t>
      </w:r>
    </w:p>
    <w:p>
      <w:pPr>
        <w:spacing w:line="360" w:lineRule="auto"/>
        <w:jc w:val="center"/>
        <w:rPr>
          <w:rFonts w:ascii="方正小标宋简体" w:hAnsi="方正小标宋简体" w:eastAsia="方正小标宋简体" w:cs="方正小标宋简体"/>
          <w:bCs/>
          <w:color w:val="auto"/>
          <w:highlight w:val="none"/>
        </w:rPr>
      </w:pPr>
      <w:r>
        <w:rPr>
          <w:rFonts w:hint="eastAsia" w:ascii="方正小标宋简体" w:hAnsi="方正小标宋简体" w:eastAsia="方正小标宋简体" w:cs="方正小标宋简体"/>
          <w:bCs/>
          <w:color w:val="auto"/>
          <w:highlight w:val="none"/>
        </w:rPr>
        <w:t>编制</w:t>
      </w:r>
    </w:p>
    <w:p>
      <w:pPr>
        <w:spacing w:line="360" w:lineRule="auto"/>
        <w:jc w:val="center"/>
        <w:rPr>
          <w:rFonts w:ascii="方正小标宋简体" w:hAnsi="方正小标宋简体" w:eastAsia="方正小标宋简体" w:cs="方正小标宋简体"/>
          <w:bCs/>
          <w:color w:val="auto"/>
          <w:highlight w:val="none"/>
        </w:rPr>
      </w:pPr>
      <w:r>
        <w:rPr>
          <w:rFonts w:hint="eastAsia" w:ascii="方正小标宋简体" w:hAnsi="方正小标宋简体" w:eastAsia="方正小标宋简体" w:cs="方正小标宋简体"/>
          <w:bCs/>
          <w:color w:val="auto"/>
          <w:highlight w:val="none"/>
        </w:rPr>
        <w:t>2024年</w:t>
      </w:r>
      <w:r>
        <w:rPr>
          <w:rFonts w:hint="eastAsia" w:ascii="方正小标宋简体" w:hAnsi="方正小标宋简体" w:eastAsia="方正小标宋简体" w:cs="方正小标宋简体"/>
          <w:bCs/>
          <w:color w:val="auto"/>
          <w:highlight w:val="none"/>
          <w:lang w:val="en-US" w:eastAsia="zh-CN"/>
        </w:rPr>
        <w:t>9</w:t>
      </w:r>
      <w:r>
        <w:rPr>
          <w:rFonts w:hint="eastAsia" w:ascii="方正小标宋简体" w:hAnsi="方正小标宋简体" w:eastAsia="方正小标宋简体" w:cs="方正小标宋简体"/>
          <w:bCs/>
          <w:color w:val="auto"/>
          <w:highlight w:val="none"/>
        </w:rPr>
        <w:t>月</w:t>
      </w:r>
    </w:p>
    <w:p>
      <w:pPr>
        <w:pStyle w:val="4"/>
        <w:rPr>
          <w:rFonts w:ascii="仿宋_GB2312" w:hAnsi="仿宋_GB2312" w:eastAsia="仿宋_GB2312" w:cs="仿宋_GB2312"/>
          <w:bCs/>
          <w:color w:val="auto"/>
          <w:sz w:val="32"/>
          <w:szCs w:val="32"/>
          <w:highlight w:val="none"/>
        </w:rPr>
      </w:pPr>
    </w:p>
    <w:p>
      <w:pPr>
        <w:rPr>
          <w:rFonts w:ascii="仿宋_GB2312" w:hAnsi="仿宋_GB2312" w:eastAsia="仿宋_GB2312" w:cs="仿宋_GB2312"/>
          <w:color w:val="auto"/>
          <w:highlight w:val="none"/>
          <w:lang w:val="zh-CN"/>
        </w:rPr>
        <w:sectPr>
          <w:pgSz w:w="11906" w:h="16838"/>
          <w:pgMar w:top="1440" w:right="1800" w:bottom="1440" w:left="1800" w:header="851" w:footer="992" w:gutter="0"/>
          <w:pgNumType w:fmt="decimal" w:start="1"/>
          <w:cols w:space="720" w:num="1"/>
          <w:docGrid w:type="lines" w:linePitch="312" w:charSpace="0"/>
        </w:sectPr>
      </w:pPr>
    </w:p>
    <w:p>
      <w:pPr>
        <w:rPr>
          <w:rFonts w:ascii="仿宋_GB2312" w:hAnsi="仿宋_GB2312" w:eastAsia="仿宋_GB2312" w:cs="仿宋_GB2312"/>
          <w:color w:val="auto"/>
          <w:highlight w:val="none"/>
          <w:lang w:val="zh-CN"/>
        </w:rPr>
      </w:pPr>
    </w:p>
    <w:p>
      <w:pPr>
        <w:jc w:val="center"/>
        <w:rPr>
          <w:rFonts w:ascii="方正小标宋简体" w:hAnsi="方正小标宋简体" w:eastAsia="方正小标宋简体" w:cs="方正小标宋简体"/>
          <w:color w:val="auto"/>
          <w:sz w:val="44"/>
          <w:szCs w:val="44"/>
          <w:highlight w:val="none"/>
        </w:rPr>
      </w:pPr>
      <w:r>
        <w:rPr>
          <w:rFonts w:hint="eastAsia" w:ascii="方正小标宋简体" w:hAnsi="方正小标宋简体" w:eastAsia="方正小标宋简体" w:cs="方正小标宋简体"/>
          <w:color w:val="auto"/>
          <w:sz w:val="44"/>
          <w:szCs w:val="44"/>
          <w:highlight w:val="none"/>
        </w:rPr>
        <w:t>目   录</w:t>
      </w:r>
    </w:p>
    <w:p>
      <w:pPr>
        <w:rPr>
          <w:rFonts w:ascii="仿宋_GB2312" w:hAnsi="仿宋_GB2312" w:eastAsia="仿宋_GB2312" w:cs="仿宋_GB2312"/>
          <w:b/>
          <w:bCs/>
          <w:color w:val="auto"/>
          <w:sz w:val="44"/>
          <w:szCs w:val="44"/>
          <w:highlight w:val="none"/>
        </w:rPr>
      </w:pPr>
    </w:p>
    <w:p>
      <w:pPr>
        <w:pStyle w:val="4"/>
        <w:rPr>
          <w:rFonts w:ascii="仿宋_GB2312" w:hAnsi="仿宋_GB2312" w:eastAsia="仿宋_GB2312" w:cs="仿宋_GB2312"/>
          <w:b/>
          <w:bCs/>
          <w:color w:val="auto"/>
          <w:sz w:val="44"/>
          <w:szCs w:val="44"/>
          <w:highlight w:val="none"/>
        </w:rPr>
      </w:pPr>
    </w:p>
    <w:p>
      <w:pPr>
        <w:rPr>
          <w:color w:val="auto"/>
          <w:highlight w:val="none"/>
        </w:rPr>
      </w:pPr>
      <w:r>
        <w:rPr>
          <w:rFonts w:hint="eastAsia"/>
          <w:color w:val="auto"/>
          <w:highlight w:val="none"/>
        </w:rPr>
        <w:t>第一章  谈判邀请</w:t>
      </w:r>
      <w:r>
        <w:rPr>
          <w:rFonts w:hint="eastAsia"/>
          <w:color w:val="auto"/>
          <w:highlight w:val="none"/>
        </w:rPr>
        <w:tab/>
      </w:r>
    </w:p>
    <w:p>
      <w:pPr>
        <w:rPr>
          <w:color w:val="auto"/>
          <w:highlight w:val="none"/>
        </w:rPr>
      </w:pPr>
      <w:r>
        <w:rPr>
          <w:rFonts w:hint="eastAsia"/>
          <w:color w:val="auto"/>
          <w:highlight w:val="none"/>
        </w:rPr>
        <w:t>第二章  谈判须知</w:t>
      </w:r>
      <w:r>
        <w:rPr>
          <w:rFonts w:hint="eastAsia"/>
          <w:color w:val="auto"/>
          <w:highlight w:val="none"/>
        </w:rPr>
        <w:tab/>
      </w:r>
    </w:p>
    <w:p>
      <w:pPr>
        <w:rPr>
          <w:color w:val="auto"/>
          <w:highlight w:val="none"/>
        </w:rPr>
      </w:pPr>
      <w:r>
        <w:rPr>
          <w:rFonts w:hint="eastAsia"/>
          <w:color w:val="auto"/>
          <w:highlight w:val="none"/>
        </w:rPr>
        <w:t>第三章  采购项目技术、服务及其他商务要求</w:t>
      </w:r>
    </w:p>
    <w:p>
      <w:pPr>
        <w:rPr>
          <w:color w:val="auto"/>
          <w:highlight w:val="none"/>
        </w:rPr>
      </w:pPr>
      <w:r>
        <w:rPr>
          <w:rFonts w:hint="eastAsia"/>
          <w:color w:val="auto"/>
          <w:highlight w:val="none"/>
        </w:rPr>
        <w:t>第四章  谈判内容、谈判过程中可实质性变动的内容</w:t>
      </w:r>
    </w:p>
    <w:p>
      <w:pPr>
        <w:rPr>
          <w:color w:val="auto"/>
          <w:highlight w:val="none"/>
        </w:rPr>
      </w:pPr>
      <w:r>
        <w:rPr>
          <w:rFonts w:hint="eastAsia"/>
          <w:color w:val="auto"/>
          <w:highlight w:val="none"/>
        </w:rPr>
        <w:t>第五章  响应文件格式</w:t>
      </w:r>
    </w:p>
    <w:p>
      <w:pPr>
        <w:rPr>
          <w:color w:val="auto"/>
          <w:highlight w:val="none"/>
        </w:rPr>
      </w:pPr>
      <w:r>
        <w:rPr>
          <w:rFonts w:hint="eastAsia"/>
          <w:color w:val="auto"/>
          <w:highlight w:val="none"/>
        </w:rPr>
        <w:t>第六章  评审方法</w:t>
      </w:r>
    </w:p>
    <w:p>
      <w:pPr>
        <w:rPr>
          <w:color w:val="auto"/>
          <w:highlight w:val="none"/>
        </w:rPr>
      </w:pPr>
      <w:r>
        <w:rPr>
          <w:rFonts w:hint="eastAsia"/>
          <w:color w:val="auto"/>
          <w:highlight w:val="none"/>
        </w:rPr>
        <w:t>第七章  合同（样本）</w:t>
      </w:r>
    </w:p>
    <w:p>
      <w:pPr>
        <w:rPr>
          <w:color w:val="auto"/>
          <w:highlight w:val="none"/>
        </w:rPr>
      </w:pPr>
      <w:r>
        <w:rPr>
          <w:rFonts w:hint="eastAsia"/>
          <w:color w:val="auto"/>
          <w:highlight w:val="none"/>
        </w:rPr>
        <w:t>第八章  附  件</w:t>
      </w:r>
    </w:p>
    <w:p>
      <w:pPr>
        <w:rPr>
          <w:rFonts w:ascii="仿宋_GB2312" w:hAnsi="仿宋_GB2312" w:eastAsia="仿宋_GB2312" w:cs="仿宋_GB2312"/>
          <w:b/>
          <w:bCs/>
          <w:color w:val="auto"/>
          <w:sz w:val="44"/>
          <w:szCs w:val="44"/>
          <w:highlight w:val="none"/>
        </w:rPr>
      </w:pPr>
    </w:p>
    <w:p>
      <w:pPr>
        <w:pStyle w:val="4"/>
        <w:rPr>
          <w:rFonts w:ascii="仿宋_GB2312" w:hAnsi="仿宋_GB2312" w:eastAsia="仿宋_GB2312" w:cs="仿宋_GB2312"/>
          <w:b/>
          <w:bCs/>
          <w:color w:val="auto"/>
          <w:sz w:val="44"/>
          <w:szCs w:val="44"/>
          <w:highlight w:val="none"/>
        </w:rPr>
      </w:pPr>
    </w:p>
    <w:p>
      <w:pPr>
        <w:rPr>
          <w:rFonts w:ascii="仿宋_GB2312" w:hAnsi="仿宋_GB2312" w:eastAsia="仿宋_GB2312" w:cs="仿宋_GB2312"/>
          <w:b/>
          <w:bCs/>
          <w:color w:val="auto"/>
          <w:sz w:val="44"/>
          <w:szCs w:val="44"/>
          <w:highlight w:val="none"/>
        </w:rPr>
      </w:pPr>
    </w:p>
    <w:p>
      <w:pPr>
        <w:pStyle w:val="4"/>
        <w:rPr>
          <w:rFonts w:ascii="仿宋_GB2312" w:hAnsi="仿宋_GB2312" w:eastAsia="仿宋_GB2312" w:cs="仿宋_GB2312"/>
          <w:b/>
          <w:bCs/>
          <w:color w:val="auto"/>
          <w:sz w:val="44"/>
          <w:szCs w:val="44"/>
          <w:highlight w:val="none"/>
        </w:rPr>
      </w:pPr>
    </w:p>
    <w:p>
      <w:pPr>
        <w:rPr>
          <w:rFonts w:ascii="仿宋_GB2312" w:hAnsi="仿宋_GB2312" w:eastAsia="仿宋_GB2312" w:cs="仿宋_GB2312"/>
          <w:b/>
          <w:bCs/>
          <w:color w:val="auto"/>
          <w:sz w:val="44"/>
          <w:szCs w:val="44"/>
          <w:highlight w:val="none"/>
        </w:rPr>
      </w:pPr>
    </w:p>
    <w:p>
      <w:pPr>
        <w:rPr>
          <w:rFonts w:ascii="仿宋_GB2312" w:hAnsi="仿宋_GB2312" w:eastAsia="仿宋_GB2312" w:cs="仿宋_GB2312"/>
          <w:b/>
          <w:bCs/>
          <w:color w:val="auto"/>
          <w:sz w:val="44"/>
          <w:szCs w:val="44"/>
          <w:highlight w:val="none"/>
        </w:rPr>
      </w:pPr>
    </w:p>
    <w:p>
      <w:pPr>
        <w:rPr>
          <w:rFonts w:ascii="仿宋_GB2312" w:hAnsi="仿宋_GB2312" w:eastAsia="仿宋_GB2312" w:cs="仿宋_GB2312"/>
          <w:b/>
          <w:bCs/>
          <w:color w:val="auto"/>
          <w:sz w:val="44"/>
          <w:szCs w:val="44"/>
          <w:highlight w:val="none"/>
        </w:rPr>
      </w:pPr>
    </w:p>
    <w:p>
      <w:pPr>
        <w:rPr>
          <w:rFonts w:ascii="仿宋_GB2312" w:hAnsi="仿宋_GB2312" w:eastAsia="仿宋_GB2312" w:cs="仿宋_GB2312"/>
          <w:b/>
          <w:bCs/>
          <w:color w:val="auto"/>
          <w:sz w:val="44"/>
          <w:szCs w:val="44"/>
          <w:highlight w:val="none"/>
        </w:rPr>
      </w:pPr>
    </w:p>
    <w:p>
      <w:pPr>
        <w:rPr>
          <w:rFonts w:ascii="仿宋_GB2312" w:hAnsi="仿宋_GB2312" w:eastAsia="仿宋_GB2312" w:cs="仿宋_GB2312"/>
          <w:b/>
          <w:bCs/>
          <w:color w:val="auto"/>
          <w:sz w:val="44"/>
          <w:szCs w:val="44"/>
          <w:highlight w:val="none"/>
        </w:rPr>
      </w:pPr>
    </w:p>
    <w:p>
      <w:pPr>
        <w:spacing w:line="578" w:lineRule="exact"/>
        <w:jc w:val="center"/>
        <w:rPr>
          <w:rFonts w:ascii="方正小标宋简体" w:hAnsi="方正小标宋简体" w:eastAsia="方正小标宋简体" w:cs="方正小标宋简体"/>
          <w:color w:val="auto"/>
          <w:highlight w:val="none"/>
        </w:rPr>
      </w:pPr>
      <w:r>
        <w:rPr>
          <w:rFonts w:hint="eastAsia" w:ascii="方正小标宋简体" w:hAnsi="方正小标宋简体" w:eastAsia="方正小标宋简体" w:cs="方正小标宋简体"/>
          <w:color w:val="auto"/>
          <w:highlight w:val="none"/>
        </w:rPr>
        <w:t>第一章  谈判邀请</w:t>
      </w:r>
    </w:p>
    <w:p>
      <w:pPr>
        <w:spacing w:line="578" w:lineRule="exact"/>
        <w:rPr>
          <w:rFonts w:ascii="仿宋_GB2312" w:hAnsi="仿宋_GB2312" w:eastAsia="仿宋_GB2312" w:cs="仿宋_GB2312"/>
          <w:color w:val="auto"/>
          <w:highlight w:val="none"/>
        </w:rPr>
      </w:pPr>
    </w:p>
    <w:p>
      <w:pPr>
        <w:spacing w:line="578" w:lineRule="exact"/>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我司拟对“</w:t>
      </w:r>
      <w:r>
        <w:rPr>
          <w:rFonts w:hint="eastAsia" w:ascii="仿宋_GB2312" w:hAnsi="仿宋_GB2312" w:eastAsia="仿宋_GB2312" w:cs="仿宋_GB2312"/>
          <w:color w:val="auto"/>
          <w:highlight w:val="none"/>
          <w:lang w:val="en-US" w:eastAsia="zh-CN"/>
        </w:rPr>
        <w:t>达州东部经开区生态智慧城综合开发建设项目（供水工程-任家咀取水泵房）航道通航条件影响评价报告编制服务</w:t>
      </w:r>
      <w:r>
        <w:rPr>
          <w:rFonts w:hint="eastAsia" w:ascii="仿宋_GB2312" w:hAnsi="仿宋_GB2312" w:eastAsia="仿宋_GB2312" w:cs="仿宋_GB2312"/>
          <w:color w:val="auto"/>
          <w:highlight w:val="none"/>
        </w:rPr>
        <w:t>”进行竞争性谈判采购，兹邀请符合要求的供应商参加竞争性谈判。特邀请符合本次采购要求的供应商参加本项目的竞争性谈判。</w:t>
      </w:r>
    </w:p>
    <w:p>
      <w:pPr>
        <w:spacing w:line="578" w:lineRule="exact"/>
        <w:ind w:firstLine="640" w:firstLineChars="200"/>
        <w:rPr>
          <w:rFonts w:ascii="黑体" w:hAnsi="黑体" w:eastAsia="黑体" w:cs="黑体"/>
          <w:color w:val="auto"/>
          <w:highlight w:val="none"/>
        </w:rPr>
      </w:pPr>
      <w:r>
        <w:rPr>
          <w:rFonts w:hint="eastAsia" w:ascii="黑体" w:hAnsi="黑体" w:eastAsia="黑体" w:cs="黑体"/>
          <w:color w:val="auto"/>
          <w:highlight w:val="none"/>
        </w:rPr>
        <w:t>一、项目基本情况</w:t>
      </w:r>
    </w:p>
    <w:p>
      <w:pPr>
        <w:spacing w:line="578" w:lineRule="exact"/>
        <w:ind w:firstLine="640" w:firstLineChars="200"/>
        <w:rPr>
          <w:rFonts w:hint="default" w:ascii="仿宋_GB2312" w:hAnsi="仿宋_GB2312" w:eastAsia="仿宋_GB2312" w:cs="仿宋_GB2312"/>
          <w:color w:val="auto"/>
          <w:highlight w:val="none"/>
          <w:lang w:val="en-US" w:eastAsia="zh-CN"/>
        </w:rPr>
      </w:pPr>
      <w:r>
        <w:rPr>
          <w:rFonts w:hint="eastAsia" w:ascii="仿宋_GB2312" w:hAnsi="仿宋_GB2312" w:eastAsia="仿宋_GB2312" w:cs="仿宋_GB2312"/>
          <w:color w:val="auto"/>
          <w:highlight w:val="none"/>
        </w:rPr>
        <w:t>1.项目编号：DTCGJT-20240</w:t>
      </w:r>
      <w:r>
        <w:rPr>
          <w:rFonts w:hint="eastAsia" w:ascii="仿宋_GB2312" w:hAnsi="仿宋_GB2312" w:eastAsia="仿宋_GB2312" w:cs="仿宋_GB2312"/>
          <w:color w:val="auto"/>
          <w:highlight w:val="none"/>
          <w:lang w:val="en-US" w:eastAsia="zh-CN"/>
        </w:rPr>
        <w:t>911</w:t>
      </w:r>
    </w:p>
    <w:p>
      <w:pPr>
        <w:spacing w:line="578" w:lineRule="exact"/>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2.项目名称：</w:t>
      </w:r>
      <w:r>
        <w:rPr>
          <w:rFonts w:hint="eastAsia" w:ascii="仿宋_GB2312" w:hAnsi="仿宋_GB2312" w:eastAsia="仿宋_GB2312" w:cs="仿宋_GB2312"/>
          <w:color w:val="auto"/>
          <w:highlight w:val="none"/>
          <w:lang w:val="en-US" w:eastAsia="zh-CN"/>
        </w:rPr>
        <w:t>达州东部经开区生态智慧城综合开发建设项目（供水工程-任家咀取水泵房）航道通航条件影响评价报告编制服务</w:t>
      </w:r>
    </w:p>
    <w:p>
      <w:pPr>
        <w:spacing w:line="578" w:lineRule="exact"/>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3.采购人：达州市投资有限公司</w:t>
      </w:r>
    </w:p>
    <w:p>
      <w:pPr>
        <w:spacing w:line="578" w:lineRule="exact"/>
        <w:ind w:firstLine="640" w:firstLineChars="200"/>
        <w:rPr>
          <w:rFonts w:ascii="黑体" w:hAnsi="黑体" w:eastAsia="黑体" w:cs="黑体"/>
          <w:color w:val="auto"/>
          <w:highlight w:val="none"/>
        </w:rPr>
      </w:pPr>
      <w:r>
        <w:rPr>
          <w:rFonts w:hint="eastAsia" w:ascii="黑体" w:hAnsi="黑体" w:eastAsia="黑体" w:cs="黑体"/>
          <w:color w:val="auto"/>
          <w:highlight w:val="none"/>
        </w:rPr>
        <w:t>二、资金情况</w:t>
      </w:r>
    </w:p>
    <w:p>
      <w:pPr>
        <w:spacing w:line="578" w:lineRule="exact"/>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资金来源及金额：企业自筹资金。</w:t>
      </w:r>
    </w:p>
    <w:p>
      <w:pPr>
        <w:numPr>
          <w:ilvl w:val="0"/>
          <w:numId w:val="1"/>
        </w:numPr>
        <w:spacing w:line="578" w:lineRule="exact"/>
        <w:ind w:firstLine="640" w:firstLineChars="200"/>
        <w:rPr>
          <w:rFonts w:ascii="黑体" w:hAnsi="黑体" w:eastAsia="黑体" w:cs="黑体"/>
          <w:color w:val="auto"/>
          <w:highlight w:val="none"/>
        </w:rPr>
      </w:pPr>
      <w:r>
        <w:rPr>
          <w:rFonts w:hint="eastAsia" w:ascii="黑体" w:hAnsi="黑体" w:eastAsia="黑体" w:cs="黑体"/>
          <w:color w:val="auto"/>
          <w:highlight w:val="none"/>
        </w:rPr>
        <w:t>采购项目简介：</w:t>
      </w:r>
    </w:p>
    <w:p>
      <w:pPr>
        <w:spacing w:line="578" w:lineRule="exact"/>
        <w:ind w:firstLine="640" w:firstLineChars="200"/>
        <w:rPr>
          <w:rFonts w:hint="eastAsia" w:ascii="仿宋_GB2312" w:hAnsi="仿宋_GB2312" w:eastAsia="仿宋_GB2312" w:cs="仿宋_GB2312"/>
          <w:color w:val="auto"/>
          <w:highlight w:val="none"/>
          <w:lang w:val="en-US" w:eastAsia="zh-CN"/>
        </w:rPr>
      </w:pPr>
      <w:r>
        <w:rPr>
          <w:rFonts w:hint="eastAsia" w:ascii="仿宋_GB2312" w:hAnsi="仿宋_GB2312" w:eastAsia="仿宋_GB2312" w:cs="仿宋_GB2312"/>
          <w:color w:val="auto"/>
          <w:highlight w:val="none"/>
          <w:lang w:val="en-US" w:eastAsia="zh-CN"/>
        </w:rPr>
        <w:t>达州东部经开区生态智慧城综合开发建设项目（供水工程-任家咀取水泵房）：本项目主体按20万m3/d 一次建成，水泵设备按近期10 万m3/d 安装。设置有水泵室、控制室、高低压配电室等基本功能房间，配套建设进场道路长度约500m。</w:t>
      </w:r>
    </w:p>
    <w:p>
      <w:pPr>
        <w:spacing w:line="578" w:lineRule="exact"/>
        <w:ind w:firstLine="640" w:firstLineChars="200"/>
        <w:rPr>
          <w:rFonts w:ascii="黑体" w:hAnsi="黑体" w:eastAsia="黑体" w:cs="黑体"/>
          <w:color w:val="auto"/>
          <w:highlight w:val="none"/>
        </w:rPr>
      </w:pPr>
      <w:r>
        <w:rPr>
          <w:rFonts w:hint="eastAsia" w:ascii="黑体" w:hAnsi="黑体" w:eastAsia="黑体" w:cs="黑体"/>
          <w:color w:val="auto"/>
          <w:highlight w:val="none"/>
        </w:rPr>
        <w:t>四、供应商邀请方式</w:t>
      </w:r>
    </w:p>
    <w:p>
      <w:pPr>
        <w:spacing w:line="578" w:lineRule="exact"/>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本次竞争性谈判邀请在达州市投资有限公司官网上以公告形式发布。</w:t>
      </w:r>
    </w:p>
    <w:p>
      <w:pPr>
        <w:spacing w:line="578" w:lineRule="exact"/>
        <w:ind w:firstLine="640" w:firstLineChars="200"/>
        <w:rPr>
          <w:rFonts w:ascii="黑体" w:hAnsi="黑体" w:eastAsia="黑体" w:cs="黑体"/>
          <w:color w:val="auto"/>
          <w:highlight w:val="none"/>
        </w:rPr>
      </w:pPr>
      <w:r>
        <w:rPr>
          <w:rFonts w:hint="eastAsia" w:ascii="黑体" w:hAnsi="黑体" w:eastAsia="黑体" w:cs="黑体"/>
          <w:color w:val="auto"/>
          <w:highlight w:val="none"/>
        </w:rPr>
        <w:t>五、供应商参加本次采购活动应具备下列条件</w:t>
      </w:r>
    </w:p>
    <w:p>
      <w:pPr>
        <w:spacing w:line="578" w:lineRule="exact"/>
        <w:ind w:firstLine="640" w:firstLineChars="200"/>
        <w:rPr>
          <w:rFonts w:hint="eastAsia"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1.具有独立承担民事责任的能力；</w:t>
      </w:r>
    </w:p>
    <w:p>
      <w:pPr>
        <w:spacing w:line="578" w:lineRule="exact"/>
        <w:ind w:firstLine="640" w:firstLineChars="200"/>
        <w:rPr>
          <w:rFonts w:hint="eastAsia" w:ascii="仿宋_GB2312" w:hAnsi="仿宋_GB2312" w:eastAsia="仿宋_GB2312" w:cs="仿宋_GB2312"/>
          <w:color w:val="auto"/>
          <w:highlight w:val="none"/>
        </w:rPr>
      </w:pPr>
      <w:r>
        <w:rPr>
          <w:rFonts w:hint="eastAsia" w:ascii="仿宋_GB2312" w:hAnsi="仿宋_GB2312" w:eastAsia="仿宋_GB2312" w:cs="仿宋_GB2312"/>
          <w:color w:val="auto"/>
          <w:highlight w:val="none"/>
          <w:lang w:val="en-US" w:eastAsia="zh-CN"/>
        </w:rPr>
        <w:t>2.</w:t>
      </w:r>
      <w:r>
        <w:rPr>
          <w:rFonts w:hint="eastAsia" w:ascii="仿宋_GB2312" w:hAnsi="仿宋_GB2312" w:eastAsia="仿宋_GB2312" w:cs="仿宋_GB2312"/>
          <w:color w:val="auto"/>
          <w:highlight w:val="none"/>
        </w:rPr>
        <w:t>具有良好的商业信誉和健全的财务会计制度；</w:t>
      </w:r>
    </w:p>
    <w:p>
      <w:pPr>
        <w:spacing w:line="578" w:lineRule="exact"/>
        <w:ind w:firstLine="640" w:firstLineChars="200"/>
        <w:rPr>
          <w:rFonts w:hint="eastAsia" w:ascii="仿宋_GB2312" w:hAnsi="仿宋_GB2312" w:eastAsia="仿宋_GB2312" w:cs="仿宋_GB2312"/>
          <w:color w:val="auto"/>
          <w:highlight w:val="none"/>
        </w:rPr>
      </w:pPr>
      <w:r>
        <w:rPr>
          <w:rFonts w:hint="eastAsia" w:ascii="仿宋_GB2312" w:hAnsi="仿宋_GB2312" w:eastAsia="仿宋_GB2312" w:cs="仿宋_GB2312"/>
          <w:color w:val="auto"/>
          <w:highlight w:val="none"/>
          <w:lang w:val="en-US" w:eastAsia="zh-CN"/>
        </w:rPr>
        <w:t>3.</w:t>
      </w:r>
      <w:r>
        <w:rPr>
          <w:rFonts w:hint="eastAsia" w:ascii="仿宋_GB2312" w:hAnsi="仿宋_GB2312" w:eastAsia="仿宋_GB2312" w:cs="仿宋_GB2312"/>
          <w:color w:val="auto"/>
          <w:highlight w:val="none"/>
        </w:rPr>
        <w:t>具有履行合同所必需的设备和专业技术能力；</w:t>
      </w:r>
    </w:p>
    <w:p>
      <w:pPr>
        <w:spacing w:line="578" w:lineRule="exact"/>
        <w:ind w:firstLine="640" w:firstLineChars="200"/>
        <w:rPr>
          <w:rFonts w:hint="eastAsia" w:ascii="仿宋_GB2312" w:hAnsi="仿宋_GB2312" w:eastAsia="仿宋_GB2312" w:cs="仿宋_GB2312"/>
          <w:color w:val="auto"/>
          <w:highlight w:val="none"/>
        </w:rPr>
      </w:pPr>
      <w:r>
        <w:rPr>
          <w:rFonts w:hint="eastAsia" w:ascii="仿宋_GB2312" w:hAnsi="仿宋_GB2312" w:eastAsia="仿宋_GB2312" w:cs="仿宋_GB2312"/>
          <w:color w:val="auto"/>
          <w:highlight w:val="none"/>
          <w:lang w:val="en-US" w:eastAsia="zh-CN"/>
        </w:rPr>
        <w:t>4.</w:t>
      </w:r>
      <w:r>
        <w:rPr>
          <w:rFonts w:hint="eastAsia" w:ascii="仿宋_GB2312" w:hAnsi="仿宋_GB2312" w:eastAsia="仿宋_GB2312" w:cs="仿宋_GB2312"/>
          <w:color w:val="auto"/>
          <w:highlight w:val="none"/>
        </w:rPr>
        <w:t>有依法缴纳税收和社会保障资金的良好记录；</w:t>
      </w:r>
    </w:p>
    <w:p>
      <w:pPr>
        <w:spacing w:line="578" w:lineRule="exact"/>
        <w:ind w:firstLine="640" w:firstLineChars="200"/>
        <w:rPr>
          <w:rFonts w:hint="eastAsia" w:ascii="仿宋_GB2312" w:hAnsi="仿宋_GB2312" w:eastAsia="仿宋_GB2312" w:cs="仿宋_GB2312"/>
          <w:color w:val="auto"/>
          <w:highlight w:val="none"/>
        </w:rPr>
      </w:pPr>
      <w:r>
        <w:rPr>
          <w:rFonts w:hint="eastAsia" w:ascii="仿宋_GB2312" w:hAnsi="仿宋_GB2312" w:eastAsia="仿宋_GB2312" w:cs="仿宋_GB2312"/>
          <w:color w:val="auto"/>
          <w:highlight w:val="none"/>
          <w:lang w:val="en-US" w:eastAsia="zh-CN"/>
        </w:rPr>
        <w:t>5.</w:t>
      </w:r>
      <w:r>
        <w:rPr>
          <w:rFonts w:hint="eastAsia" w:ascii="仿宋_GB2312" w:hAnsi="仿宋_GB2312" w:eastAsia="仿宋_GB2312" w:cs="仿宋_GB2312"/>
          <w:color w:val="auto"/>
          <w:highlight w:val="none"/>
        </w:rPr>
        <w:t>参加政府采购活动前三年内，在经营活动中没有重大违法记录。</w:t>
      </w:r>
    </w:p>
    <w:p>
      <w:pPr>
        <w:spacing w:line="578" w:lineRule="exact"/>
        <w:ind w:firstLine="640" w:firstLineChars="200"/>
        <w:rPr>
          <w:rFonts w:hint="eastAsia" w:ascii="仿宋_GB2312" w:hAnsi="仿宋_GB2312" w:eastAsia="仿宋_GB2312" w:cs="仿宋_GB2312"/>
          <w:color w:val="auto"/>
          <w:highlight w:val="none"/>
          <w:lang w:eastAsia="zh-CN"/>
        </w:rPr>
      </w:pPr>
      <w:r>
        <w:rPr>
          <w:rFonts w:hint="eastAsia" w:ascii="仿宋_GB2312" w:hAnsi="仿宋_GB2312" w:eastAsia="仿宋_GB2312" w:cs="仿宋_GB2312"/>
          <w:color w:val="auto"/>
          <w:highlight w:val="none"/>
          <w:lang w:val="en-US" w:eastAsia="zh-CN"/>
        </w:rPr>
        <w:t>6.</w:t>
      </w:r>
      <w:r>
        <w:rPr>
          <w:rFonts w:hint="eastAsia" w:ascii="仿宋_GB2312" w:hAnsi="仿宋_GB2312" w:eastAsia="仿宋_GB2312" w:cs="仿宋_GB2312"/>
          <w:color w:val="auto"/>
          <w:highlight w:val="none"/>
        </w:rPr>
        <w:t>落实政府采购政策需满足的资格要求：</w:t>
      </w:r>
      <w:r>
        <w:rPr>
          <w:rFonts w:hint="eastAsia" w:ascii="仿宋_GB2312" w:hAnsi="仿宋_GB2312" w:eastAsia="仿宋_GB2312" w:cs="仿宋_GB2312"/>
          <w:color w:val="auto"/>
          <w:highlight w:val="none"/>
          <w:lang w:val="en-US" w:eastAsia="zh-CN"/>
        </w:rPr>
        <w:t>本项目非专门面向中小企业采购。（</w:t>
      </w:r>
      <w:r>
        <w:rPr>
          <w:rFonts w:hint="eastAsia" w:ascii="仿宋_GB2312" w:hAnsi="仿宋_GB2312" w:eastAsia="仿宋_GB2312" w:cs="仿宋_GB2312"/>
          <w:color w:val="auto"/>
          <w:highlight w:val="none"/>
        </w:rPr>
        <w:t>注：监狱企业和残疾人福利性单位视同小微企业，符合中小企业划分标准的个体工商户视同中小企业。</w:t>
      </w:r>
      <w:r>
        <w:rPr>
          <w:rFonts w:hint="eastAsia" w:ascii="仿宋_GB2312" w:hAnsi="仿宋_GB2312" w:eastAsia="仿宋_GB2312" w:cs="仿宋_GB2312"/>
          <w:color w:val="auto"/>
          <w:highlight w:val="none"/>
          <w:lang w:eastAsia="zh-CN"/>
        </w:rPr>
        <w:t>）</w:t>
      </w:r>
    </w:p>
    <w:p>
      <w:pPr>
        <w:spacing w:line="578" w:lineRule="exact"/>
        <w:ind w:firstLine="640" w:firstLineChars="200"/>
        <w:rPr>
          <w:rFonts w:hint="default" w:ascii="仿宋_GB2312" w:hAnsi="仿宋_GB2312" w:eastAsia="仿宋_GB2312" w:cs="仿宋_GB2312"/>
          <w:color w:val="auto"/>
          <w:highlight w:val="none"/>
          <w:lang w:val="en-US"/>
        </w:rPr>
      </w:pPr>
      <w:bookmarkStart w:id="9" w:name="_Toc692"/>
      <w:r>
        <w:rPr>
          <w:rFonts w:hint="eastAsia" w:ascii="仿宋_GB2312" w:hAnsi="仿宋_GB2312" w:eastAsia="仿宋_GB2312" w:cs="仿宋_GB2312"/>
          <w:color w:val="auto"/>
          <w:highlight w:val="none"/>
          <w:lang w:val="en-US" w:eastAsia="zh-CN"/>
        </w:rPr>
        <w:t>7.</w:t>
      </w:r>
      <w:r>
        <w:rPr>
          <w:rFonts w:hint="eastAsia" w:ascii="仿宋_GB2312" w:hAnsi="仿宋_GB2312" w:eastAsia="仿宋_GB2312" w:cs="仿宋_GB2312"/>
          <w:color w:val="auto"/>
          <w:highlight w:val="none"/>
        </w:rPr>
        <w:t>本项目的特定资格要求：</w:t>
      </w:r>
      <w:bookmarkEnd w:id="9"/>
      <w:r>
        <w:rPr>
          <w:rFonts w:hint="eastAsia" w:ascii="仿宋_GB2312" w:hAnsi="仿宋_GB2312" w:eastAsia="仿宋_GB2312" w:cs="仿宋_GB2312"/>
          <w:color w:val="auto"/>
          <w:highlight w:val="none"/>
          <w:lang w:val="en-US" w:eastAsia="zh-CN"/>
        </w:rPr>
        <w:t>至少具有一个航道通航条件影响评价的业绩。</w:t>
      </w:r>
    </w:p>
    <w:p>
      <w:pPr>
        <w:spacing w:line="578" w:lineRule="exact"/>
        <w:ind w:firstLine="640" w:firstLineChars="200"/>
        <w:rPr>
          <w:rFonts w:ascii="黑体" w:hAnsi="黑体" w:eastAsia="黑体" w:cs="黑体"/>
          <w:color w:val="auto"/>
          <w:highlight w:val="none"/>
        </w:rPr>
      </w:pPr>
      <w:r>
        <w:rPr>
          <w:rFonts w:hint="eastAsia" w:ascii="黑体" w:hAnsi="黑体" w:eastAsia="黑体" w:cs="黑体"/>
          <w:color w:val="auto"/>
          <w:highlight w:val="none"/>
        </w:rPr>
        <w:t>六、禁止参加本次采购活动的供应商</w:t>
      </w:r>
    </w:p>
    <w:p>
      <w:pPr>
        <w:spacing w:line="578" w:lineRule="exact"/>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1.根据《关于在政府采购活动中查询及使用信用记录有关问题的通知》（财库〔2016〕125号）的要求，采购人将通过“信用中国”网站（www.creditchina.gov.cn）、“中国政府采购网”网站（www.ccgp.gov.cn）等渠道查询供应商在采购公告发布之日前的信用记录并保存信用记录结果网页截图，拒绝列入失信被执行人名单、重大税收违法案件当事人名单、政府采购严重违法失信行为记录名单中的供应商报名参加本项目的采购活动（以联合体形式参加本项目采购活动，联合体成员存在不良信用记录的，视同联合体存在不良信用记录）。</w:t>
      </w:r>
    </w:p>
    <w:p>
      <w:pPr>
        <w:spacing w:line="578" w:lineRule="exact"/>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2.为采购项目提供整体设计、规范编制或者项目管理、监理、检测等服务的供应商，不得参加本采购项目。供应商为采购人在确定采购需求、编制谈判文件过程中提供咨询论证，其提供的咨询论证意见成为谈判文件中规定的供应商资格条件、技术服务商务要求、评审因素和标准、采购合同等实质性内容条款的，视同为采购项目提供规范编制。</w:t>
      </w:r>
    </w:p>
    <w:p>
      <w:pPr>
        <w:spacing w:line="578" w:lineRule="exact"/>
        <w:ind w:firstLine="640" w:firstLineChars="200"/>
        <w:rPr>
          <w:rFonts w:ascii="黑体" w:hAnsi="黑体" w:eastAsia="黑体" w:cs="黑体"/>
          <w:color w:val="auto"/>
          <w:highlight w:val="none"/>
        </w:rPr>
      </w:pPr>
      <w:r>
        <w:rPr>
          <w:rFonts w:hint="eastAsia" w:ascii="黑体" w:hAnsi="黑体" w:eastAsia="黑体" w:cs="黑体"/>
          <w:color w:val="auto"/>
          <w:highlight w:val="none"/>
        </w:rPr>
        <w:t>七、递交响应文件截止时间和谈判时间</w:t>
      </w:r>
    </w:p>
    <w:p>
      <w:pPr>
        <w:spacing w:line="578" w:lineRule="exact"/>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1.截止时间：2024年</w:t>
      </w:r>
      <w:r>
        <w:rPr>
          <w:rFonts w:hint="eastAsia" w:ascii="仿宋_GB2312" w:hAnsi="仿宋_GB2312" w:eastAsia="仿宋_GB2312" w:cs="仿宋_GB2312"/>
          <w:color w:val="auto"/>
          <w:highlight w:val="none"/>
          <w:lang w:val="en-US" w:eastAsia="zh-CN"/>
        </w:rPr>
        <w:t>10</w:t>
      </w:r>
      <w:r>
        <w:rPr>
          <w:rFonts w:hint="eastAsia" w:ascii="仿宋_GB2312" w:hAnsi="仿宋_GB2312" w:eastAsia="仿宋_GB2312" w:cs="仿宋_GB2312"/>
          <w:color w:val="auto"/>
          <w:highlight w:val="none"/>
        </w:rPr>
        <w:t>月</w:t>
      </w:r>
      <w:r>
        <w:rPr>
          <w:rFonts w:hint="eastAsia" w:ascii="仿宋_GB2312" w:hAnsi="仿宋_GB2312" w:eastAsia="仿宋_GB2312" w:cs="仿宋_GB2312"/>
          <w:color w:val="auto"/>
          <w:highlight w:val="none"/>
          <w:lang w:val="en-US" w:eastAsia="zh-CN"/>
        </w:rPr>
        <w:t>18</w:t>
      </w:r>
      <w:r>
        <w:rPr>
          <w:rFonts w:hint="eastAsia" w:ascii="仿宋_GB2312" w:hAnsi="仿宋_GB2312" w:eastAsia="仿宋_GB2312" w:cs="仿宋_GB2312"/>
          <w:color w:val="auto"/>
          <w:highlight w:val="none"/>
        </w:rPr>
        <w:t>日</w:t>
      </w:r>
      <w:r>
        <w:rPr>
          <w:rFonts w:hint="eastAsia" w:ascii="仿宋_GB2312" w:hAnsi="仿宋_GB2312" w:eastAsia="仿宋_GB2312" w:cs="仿宋_GB2312"/>
          <w:color w:val="auto"/>
          <w:highlight w:val="none"/>
          <w:lang w:val="en-US" w:eastAsia="zh-CN"/>
        </w:rPr>
        <w:t>10</w:t>
      </w:r>
      <w:r>
        <w:rPr>
          <w:rFonts w:hint="eastAsia" w:ascii="仿宋_GB2312" w:hAnsi="仿宋_GB2312" w:eastAsia="仿宋_GB2312" w:cs="仿宋_GB2312"/>
          <w:color w:val="auto"/>
          <w:highlight w:val="none"/>
        </w:rPr>
        <w:t>:00（北京时间）。</w:t>
      </w:r>
    </w:p>
    <w:p>
      <w:pPr>
        <w:spacing w:line="578" w:lineRule="exact"/>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2.谈判时间：2024年</w:t>
      </w:r>
      <w:r>
        <w:rPr>
          <w:rFonts w:hint="eastAsia" w:ascii="仿宋_GB2312" w:hAnsi="仿宋_GB2312" w:eastAsia="仿宋_GB2312" w:cs="仿宋_GB2312"/>
          <w:color w:val="auto"/>
          <w:highlight w:val="none"/>
          <w:lang w:val="en-US" w:eastAsia="zh-CN"/>
        </w:rPr>
        <w:t>10</w:t>
      </w:r>
      <w:r>
        <w:rPr>
          <w:rFonts w:hint="eastAsia" w:ascii="仿宋_GB2312" w:hAnsi="仿宋_GB2312" w:eastAsia="仿宋_GB2312" w:cs="仿宋_GB2312"/>
          <w:color w:val="auto"/>
          <w:highlight w:val="none"/>
        </w:rPr>
        <w:t>月</w:t>
      </w:r>
      <w:r>
        <w:rPr>
          <w:rFonts w:hint="eastAsia" w:ascii="仿宋_GB2312" w:hAnsi="仿宋_GB2312" w:eastAsia="仿宋_GB2312" w:cs="仿宋_GB2312"/>
          <w:color w:val="auto"/>
          <w:highlight w:val="none"/>
          <w:lang w:val="en-US" w:eastAsia="zh-CN"/>
        </w:rPr>
        <w:t>18</w:t>
      </w:r>
      <w:r>
        <w:rPr>
          <w:rFonts w:hint="eastAsia" w:ascii="仿宋_GB2312" w:hAnsi="仿宋_GB2312" w:eastAsia="仿宋_GB2312" w:cs="仿宋_GB2312"/>
          <w:color w:val="auto"/>
          <w:highlight w:val="none"/>
        </w:rPr>
        <w:t>日</w:t>
      </w:r>
      <w:r>
        <w:rPr>
          <w:rFonts w:hint="eastAsia" w:ascii="仿宋_GB2312" w:hAnsi="仿宋_GB2312" w:eastAsia="仿宋_GB2312" w:cs="仿宋_GB2312"/>
          <w:color w:val="auto"/>
          <w:highlight w:val="none"/>
          <w:lang w:val="en-US" w:eastAsia="zh-CN"/>
        </w:rPr>
        <w:t>10</w:t>
      </w:r>
      <w:r>
        <w:rPr>
          <w:rFonts w:hint="eastAsia" w:ascii="仿宋_GB2312" w:hAnsi="仿宋_GB2312" w:eastAsia="仿宋_GB2312" w:cs="仿宋_GB2312"/>
          <w:color w:val="auto"/>
          <w:highlight w:val="none"/>
        </w:rPr>
        <w:t>:00（北京时间）。</w:t>
      </w:r>
    </w:p>
    <w:p>
      <w:pPr>
        <w:spacing w:line="578" w:lineRule="exact"/>
        <w:ind w:firstLine="640" w:firstLineChars="200"/>
        <w:rPr>
          <w:rFonts w:ascii="黑体" w:hAnsi="黑体" w:eastAsia="黑体" w:cs="黑体"/>
          <w:color w:val="auto"/>
          <w:highlight w:val="none"/>
        </w:rPr>
      </w:pPr>
      <w:r>
        <w:rPr>
          <w:rFonts w:hint="eastAsia" w:ascii="黑体" w:hAnsi="黑体" w:eastAsia="黑体" w:cs="黑体"/>
          <w:color w:val="auto"/>
          <w:highlight w:val="none"/>
        </w:rPr>
        <w:t>八、递交响应文件地点</w:t>
      </w:r>
    </w:p>
    <w:p>
      <w:pPr>
        <w:spacing w:line="578" w:lineRule="exact"/>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响应文件必须在递交响应文件截止时间前送达谈判地点。</w:t>
      </w:r>
      <w:r>
        <w:rPr>
          <w:rFonts w:hint="eastAsia" w:ascii="仿宋_GB2312" w:hAnsi="仿宋_GB2312" w:eastAsia="仿宋_GB2312" w:cs="仿宋_GB2312"/>
          <w:color w:val="auto"/>
          <w:highlight w:val="none"/>
          <w:lang w:val="en-US" w:eastAsia="zh-CN"/>
        </w:rPr>
        <w:t>邮寄、</w:t>
      </w:r>
      <w:r>
        <w:rPr>
          <w:rFonts w:hint="eastAsia" w:ascii="仿宋_GB2312" w:hAnsi="仿宋_GB2312" w:eastAsia="仿宋_GB2312" w:cs="仿宋_GB2312"/>
          <w:color w:val="auto"/>
          <w:highlight w:val="none"/>
        </w:rPr>
        <w:t>逾期送达、密封和标注错误的响应文件，采购人恕不接收。</w:t>
      </w:r>
    </w:p>
    <w:p>
      <w:pPr>
        <w:spacing w:line="578" w:lineRule="exact"/>
        <w:ind w:firstLine="640" w:firstLineChars="200"/>
        <w:rPr>
          <w:rFonts w:ascii="黑体" w:hAnsi="黑体" w:eastAsia="黑体" w:cs="黑体"/>
          <w:color w:val="auto"/>
          <w:highlight w:val="none"/>
        </w:rPr>
      </w:pPr>
      <w:r>
        <w:rPr>
          <w:rFonts w:hint="eastAsia" w:ascii="黑体" w:hAnsi="黑体" w:eastAsia="黑体" w:cs="黑体"/>
          <w:color w:val="auto"/>
          <w:highlight w:val="none"/>
        </w:rPr>
        <w:t>九、响应文件开启时间</w:t>
      </w:r>
    </w:p>
    <w:p>
      <w:pPr>
        <w:spacing w:line="578" w:lineRule="exact"/>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2024年</w:t>
      </w:r>
      <w:r>
        <w:rPr>
          <w:rFonts w:hint="eastAsia" w:ascii="仿宋_GB2312" w:hAnsi="仿宋_GB2312" w:eastAsia="仿宋_GB2312" w:cs="仿宋_GB2312"/>
          <w:color w:val="auto"/>
          <w:highlight w:val="none"/>
          <w:lang w:val="en-US" w:eastAsia="zh-CN"/>
        </w:rPr>
        <w:t>10</w:t>
      </w:r>
      <w:r>
        <w:rPr>
          <w:rFonts w:hint="eastAsia" w:ascii="仿宋_GB2312" w:hAnsi="仿宋_GB2312" w:eastAsia="仿宋_GB2312" w:cs="仿宋_GB2312"/>
          <w:color w:val="auto"/>
          <w:highlight w:val="none"/>
        </w:rPr>
        <w:t>月</w:t>
      </w:r>
      <w:r>
        <w:rPr>
          <w:rFonts w:hint="eastAsia" w:ascii="仿宋_GB2312" w:hAnsi="仿宋_GB2312" w:eastAsia="仿宋_GB2312" w:cs="仿宋_GB2312"/>
          <w:color w:val="auto"/>
          <w:highlight w:val="none"/>
          <w:lang w:val="en-US" w:eastAsia="zh-CN"/>
        </w:rPr>
        <w:t>18</w:t>
      </w:r>
      <w:r>
        <w:rPr>
          <w:rFonts w:hint="eastAsia" w:ascii="仿宋_GB2312" w:hAnsi="仿宋_GB2312" w:eastAsia="仿宋_GB2312" w:cs="仿宋_GB2312"/>
          <w:color w:val="auto"/>
          <w:highlight w:val="none"/>
        </w:rPr>
        <w:t>日</w:t>
      </w:r>
      <w:r>
        <w:rPr>
          <w:rFonts w:hint="eastAsia" w:ascii="仿宋_GB2312" w:hAnsi="仿宋_GB2312" w:eastAsia="仿宋_GB2312" w:cs="仿宋_GB2312"/>
          <w:color w:val="auto"/>
          <w:highlight w:val="none"/>
          <w:lang w:val="en-US" w:eastAsia="zh-CN"/>
        </w:rPr>
        <w:t>10</w:t>
      </w:r>
      <w:r>
        <w:rPr>
          <w:rFonts w:hint="eastAsia" w:ascii="仿宋_GB2312" w:hAnsi="仿宋_GB2312" w:eastAsia="仿宋_GB2312" w:cs="仿宋_GB2312"/>
          <w:color w:val="auto"/>
          <w:highlight w:val="none"/>
        </w:rPr>
        <w:t>:00（北京时间）在谈判地点开启。</w:t>
      </w:r>
    </w:p>
    <w:p>
      <w:pPr>
        <w:spacing w:line="578" w:lineRule="exact"/>
        <w:ind w:firstLine="640" w:firstLineChars="200"/>
        <w:rPr>
          <w:rFonts w:ascii="黑体" w:hAnsi="黑体" w:eastAsia="黑体" w:cs="黑体"/>
          <w:color w:val="auto"/>
          <w:highlight w:val="none"/>
        </w:rPr>
      </w:pPr>
      <w:r>
        <w:rPr>
          <w:rFonts w:hint="eastAsia" w:ascii="黑体" w:hAnsi="黑体" w:eastAsia="黑体" w:cs="黑体"/>
          <w:color w:val="auto"/>
          <w:highlight w:val="none"/>
        </w:rPr>
        <w:t>十、谈判地点</w:t>
      </w:r>
    </w:p>
    <w:p>
      <w:pPr>
        <w:spacing w:line="578" w:lineRule="exact"/>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达州市投资有限公司。</w:t>
      </w:r>
    </w:p>
    <w:p>
      <w:pPr>
        <w:spacing w:line="578" w:lineRule="exact"/>
        <w:ind w:firstLine="640" w:firstLineChars="200"/>
        <w:rPr>
          <w:rFonts w:ascii="黑体" w:hAnsi="黑体" w:eastAsia="黑体" w:cs="黑体"/>
          <w:color w:val="auto"/>
          <w:highlight w:val="none"/>
        </w:rPr>
      </w:pPr>
      <w:r>
        <w:rPr>
          <w:rFonts w:hint="eastAsia" w:ascii="黑体" w:hAnsi="黑体" w:eastAsia="黑体" w:cs="黑体"/>
          <w:color w:val="auto"/>
          <w:highlight w:val="none"/>
        </w:rPr>
        <w:t>十一、联系方式</w:t>
      </w:r>
    </w:p>
    <w:p>
      <w:pPr>
        <w:spacing w:line="578" w:lineRule="exact"/>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采</w:t>
      </w:r>
      <w:r>
        <w:rPr>
          <w:rFonts w:hint="eastAsia" w:ascii="仿宋_GB2312" w:hAnsi="仿宋_GB2312" w:eastAsia="仿宋_GB2312" w:cs="仿宋_GB2312"/>
          <w:color w:val="auto"/>
          <w:highlight w:val="none"/>
          <w:lang w:val="en-US" w:eastAsia="zh-CN"/>
        </w:rPr>
        <w:t xml:space="preserve"> </w:t>
      </w:r>
      <w:r>
        <w:rPr>
          <w:rFonts w:hint="eastAsia" w:ascii="仿宋_GB2312" w:hAnsi="仿宋_GB2312" w:eastAsia="仿宋_GB2312" w:cs="仿宋_GB2312"/>
          <w:color w:val="auto"/>
          <w:highlight w:val="none"/>
        </w:rPr>
        <w:t>购</w:t>
      </w:r>
      <w:r>
        <w:rPr>
          <w:rFonts w:hint="eastAsia" w:ascii="仿宋_GB2312" w:hAnsi="仿宋_GB2312" w:eastAsia="仿宋_GB2312" w:cs="仿宋_GB2312"/>
          <w:color w:val="auto"/>
          <w:highlight w:val="none"/>
          <w:lang w:val="en-US" w:eastAsia="zh-CN"/>
        </w:rPr>
        <w:t xml:space="preserve"> </w:t>
      </w:r>
      <w:r>
        <w:rPr>
          <w:rFonts w:hint="eastAsia" w:ascii="仿宋_GB2312" w:hAnsi="仿宋_GB2312" w:eastAsia="仿宋_GB2312" w:cs="仿宋_GB2312"/>
          <w:color w:val="auto"/>
          <w:highlight w:val="none"/>
        </w:rPr>
        <w:t>人：达州市投资有限公司</w:t>
      </w:r>
    </w:p>
    <w:p>
      <w:pPr>
        <w:spacing w:line="578" w:lineRule="exact"/>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地    址：达州市南外通达东路200号</w:t>
      </w:r>
    </w:p>
    <w:p>
      <w:pPr>
        <w:spacing w:line="578" w:lineRule="exact"/>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联 系 人：</w:t>
      </w:r>
      <w:r>
        <w:rPr>
          <w:rFonts w:hint="eastAsia" w:ascii="仿宋_GB2312" w:hAnsi="仿宋_GB2312" w:eastAsia="仿宋_GB2312" w:cs="仿宋_GB2312"/>
          <w:color w:val="auto"/>
          <w:highlight w:val="none"/>
          <w:lang w:eastAsia="zh-CN"/>
        </w:rPr>
        <w:t>李</w:t>
      </w:r>
      <w:r>
        <w:rPr>
          <w:rFonts w:hint="eastAsia" w:ascii="仿宋_GB2312" w:hAnsi="仿宋_GB2312" w:eastAsia="仿宋_GB2312" w:cs="仿宋_GB2312"/>
          <w:color w:val="auto"/>
          <w:highlight w:val="none"/>
        </w:rPr>
        <w:t>老师</w:t>
      </w:r>
    </w:p>
    <w:p>
      <w:pPr>
        <w:spacing w:line="578" w:lineRule="exact"/>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联系电话：0818-2532703</w:t>
      </w:r>
    </w:p>
    <w:p>
      <w:pPr>
        <w:spacing w:line="480" w:lineRule="auto"/>
        <w:jc w:val="center"/>
        <w:rPr>
          <w:rFonts w:hint="eastAsia" w:ascii="方正小标宋简体" w:hAnsi="方正小标宋简体" w:eastAsia="方正小标宋简体" w:cs="方正小标宋简体"/>
          <w:color w:val="auto"/>
          <w:szCs w:val="40"/>
          <w:highlight w:val="none"/>
        </w:rPr>
      </w:pPr>
    </w:p>
    <w:p>
      <w:pPr>
        <w:spacing w:line="480" w:lineRule="auto"/>
        <w:jc w:val="center"/>
        <w:rPr>
          <w:rFonts w:hint="eastAsia" w:ascii="方正小标宋简体" w:hAnsi="方正小标宋简体" w:eastAsia="方正小标宋简体" w:cs="方正小标宋简体"/>
          <w:color w:val="auto"/>
          <w:szCs w:val="40"/>
          <w:highlight w:val="none"/>
        </w:rPr>
      </w:pPr>
    </w:p>
    <w:p>
      <w:pPr>
        <w:spacing w:line="480" w:lineRule="auto"/>
        <w:jc w:val="center"/>
        <w:rPr>
          <w:rFonts w:hint="eastAsia" w:ascii="方正小标宋简体" w:hAnsi="方正小标宋简体" w:eastAsia="方正小标宋简体" w:cs="方正小标宋简体"/>
          <w:color w:val="auto"/>
          <w:szCs w:val="40"/>
          <w:highlight w:val="none"/>
        </w:rPr>
      </w:pPr>
    </w:p>
    <w:p>
      <w:pPr>
        <w:spacing w:line="480" w:lineRule="auto"/>
        <w:jc w:val="center"/>
        <w:rPr>
          <w:rFonts w:ascii="方正小标宋简体" w:hAnsi="方正小标宋简体" w:eastAsia="方正小标宋简体" w:cs="方正小标宋简体"/>
          <w:color w:val="auto"/>
          <w:szCs w:val="40"/>
          <w:highlight w:val="none"/>
        </w:rPr>
      </w:pPr>
      <w:r>
        <w:rPr>
          <w:rFonts w:hint="eastAsia" w:ascii="方正小标宋简体" w:hAnsi="方正小标宋简体" w:eastAsia="方正小标宋简体" w:cs="方正小标宋简体"/>
          <w:color w:val="auto"/>
          <w:szCs w:val="40"/>
          <w:highlight w:val="none"/>
        </w:rPr>
        <w:t>第二章  谈判须知</w:t>
      </w:r>
    </w:p>
    <w:p>
      <w:pPr>
        <w:spacing w:line="480" w:lineRule="auto"/>
        <w:jc w:val="center"/>
        <w:rPr>
          <w:rFonts w:ascii="黑体" w:hAnsi="黑体" w:eastAsia="黑体" w:cs="黑体"/>
          <w:color w:val="auto"/>
          <w:szCs w:val="40"/>
          <w:highlight w:val="none"/>
        </w:rPr>
      </w:pPr>
      <w:r>
        <w:rPr>
          <w:rFonts w:hint="eastAsia" w:ascii="黑体" w:hAnsi="黑体" w:eastAsia="黑体" w:cs="黑体"/>
          <w:color w:val="auto"/>
          <w:szCs w:val="40"/>
          <w:highlight w:val="none"/>
        </w:rPr>
        <w:t>一、供应商须知附表</w:t>
      </w:r>
    </w:p>
    <w:tbl>
      <w:tblPr>
        <w:tblStyle w:val="11"/>
        <w:tblW w:w="9506" w:type="dxa"/>
        <w:jc w:val="center"/>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Layout w:type="fixed"/>
        <w:tblCellMar>
          <w:top w:w="0" w:type="dxa"/>
          <w:left w:w="0" w:type="dxa"/>
          <w:bottom w:w="0" w:type="dxa"/>
          <w:right w:w="0" w:type="dxa"/>
        </w:tblCellMar>
      </w:tblPr>
      <w:tblGrid>
        <w:gridCol w:w="1013"/>
        <w:gridCol w:w="2409"/>
        <w:gridCol w:w="6084"/>
      </w:tblGrid>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926" w:hRule="exact"/>
          <w:tblHeader/>
          <w:jc w:val="center"/>
        </w:trPr>
        <w:tc>
          <w:tcPr>
            <w:tcW w:w="1013" w:type="dxa"/>
            <w:vAlign w:val="center"/>
          </w:tcPr>
          <w:p>
            <w:pPr>
              <w:spacing w:line="408" w:lineRule="auto"/>
              <w:jc w:val="center"/>
              <w:rPr>
                <w:rFonts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序号</w:t>
            </w:r>
          </w:p>
        </w:tc>
        <w:tc>
          <w:tcPr>
            <w:tcW w:w="2409" w:type="dxa"/>
            <w:vAlign w:val="center"/>
          </w:tcPr>
          <w:p>
            <w:pPr>
              <w:spacing w:line="408" w:lineRule="auto"/>
              <w:jc w:val="center"/>
              <w:rPr>
                <w:rFonts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应知事项</w:t>
            </w:r>
          </w:p>
        </w:tc>
        <w:tc>
          <w:tcPr>
            <w:tcW w:w="6084" w:type="dxa"/>
            <w:vAlign w:val="center"/>
          </w:tcPr>
          <w:p>
            <w:pPr>
              <w:spacing w:line="408" w:lineRule="auto"/>
              <w:jc w:val="center"/>
              <w:rPr>
                <w:rFonts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说明和要求</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2242" w:hRule="exact"/>
          <w:jc w:val="center"/>
        </w:trPr>
        <w:tc>
          <w:tcPr>
            <w:tcW w:w="1013" w:type="dxa"/>
            <w:vAlign w:val="center"/>
          </w:tcPr>
          <w:p>
            <w:pPr>
              <w:spacing w:line="408" w:lineRule="auto"/>
              <w:jc w:val="center"/>
              <w:rPr>
                <w:rFonts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1</w:t>
            </w:r>
          </w:p>
        </w:tc>
        <w:tc>
          <w:tcPr>
            <w:tcW w:w="2409" w:type="dxa"/>
            <w:vAlign w:val="center"/>
          </w:tcPr>
          <w:p>
            <w:pPr>
              <w:spacing w:line="408" w:lineRule="auto"/>
              <w:jc w:val="center"/>
              <w:rPr>
                <w:rFonts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采购限价/报价要求（实质性要求）</w:t>
            </w:r>
          </w:p>
        </w:tc>
        <w:tc>
          <w:tcPr>
            <w:tcW w:w="6084" w:type="dxa"/>
            <w:vAlign w:val="center"/>
          </w:tcPr>
          <w:p>
            <w:pPr>
              <w:spacing w:line="480" w:lineRule="exact"/>
              <w:rPr>
                <w:rFonts w:ascii="仿宋_GB2312" w:hAnsi="仿宋_GB2312" w:eastAsia="仿宋_GB2312" w:cs="仿宋_GB2312"/>
                <w:color w:val="auto"/>
                <w:kern w:val="0"/>
                <w:sz w:val="28"/>
                <w:szCs w:val="28"/>
                <w:highlight w:val="none"/>
              </w:rPr>
            </w:pPr>
            <w:r>
              <w:rPr>
                <w:rFonts w:hint="eastAsia" w:ascii="仿宋_GB2312" w:hAnsi="仿宋_GB2312" w:eastAsia="仿宋_GB2312" w:cs="仿宋_GB2312"/>
                <w:color w:val="auto"/>
                <w:sz w:val="28"/>
                <w:szCs w:val="28"/>
                <w:highlight w:val="none"/>
              </w:rPr>
              <w:t>（</w:t>
            </w:r>
            <w:r>
              <w:rPr>
                <w:rFonts w:hint="eastAsia" w:ascii="仿宋_GB2312" w:hAnsi="仿宋_GB2312" w:eastAsia="仿宋_GB2312" w:cs="仿宋_GB2312"/>
                <w:color w:val="auto"/>
                <w:kern w:val="0"/>
                <w:sz w:val="28"/>
                <w:szCs w:val="28"/>
                <w:highlight w:val="none"/>
              </w:rPr>
              <w:t>1）采购限价：</w:t>
            </w:r>
            <w:r>
              <w:rPr>
                <w:rFonts w:hint="eastAsia" w:ascii="仿宋_GB2312" w:hAnsi="仿宋_GB2312" w:eastAsia="仿宋_GB2312" w:cs="仿宋_GB2312"/>
                <w:color w:val="auto"/>
                <w:kern w:val="0"/>
                <w:sz w:val="28"/>
                <w:szCs w:val="28"/>
                <w:highlight w:val="none"/>
                <w:lang w:val="en-US" w:eastAsia="zh-CN"/>
              </w:rPr>
              <w:t>15</w:t>
            </w:r>
            <w:r>
              <w:rPr>
                <w:rFonts w:hint="eastAsia" w:ascii="仿宋_GB2312" w:hAnsi="仿宋_GB2312" w:eastAsia="仿宋_GB2312" w:cs="仿宋_GB2312"/>
                <w:color w:val="auto"/>
                <w:kern w:val="0"/>
                <w:sz w:val="28"/>
                <w:szCs w:val="28"/>
                <w:highlight w:val="none"/>
              </w:rPr>
              <w:t>万元</w:t>
            </w:r>
            <w:r>
              <w:rPr>
                <w:rFonts w:hint="eastAsia" w:ascii="仿宋_GB2312" w:hAnsi="仿宋_GB2312" w:eastAsia="仿宋_GB2312" w:cs="仿宋_GB2312"/>
                <w:color w:val="auto"/>
                <w:kern w:val="0"/>
                <w:sz w:val="28"/>
                <w:szCs w:val="28"/>
                <w:highlight w:val="none"/>
                <w:lang w:eastAsia="zh-CN"/>
              </w:rPr>
              <w:t>（其中：</w:t>
            </w:r>
            <w:r>
              <w:rPr>
                <w:rFonts w:hint="eastAsia" w:ascii="仿宋_GB2312" w:hAnsi="仿宋_GB2312" w:eastAsia="仿宋_GB2312" w:cs="仿宋_GB2312"/>
                <w:color w:val="auto"/>
                <w:kern w:val="0"/>
                <w:sz w:val="28"/>
                <w:szCs w:val="28"/>
                <w:highlight w:val="none"/>
                <w:lang w:val="en-US" w:eastAsia="zh-CN"/>
              </w:rPr>
              <w:t>航道通航条件影响评价报告编制费11万元，航道通航条件影响评价报告评估费4万元）</w:t>
            </w:r>
          </w:p>
          <w:p>
            <w:pPr>
              <w:numPr>
                <w:ilvl w:val="0"/>
                <w:numId w:val="2"/>
              </w:numPr>
              <w:spacing w:line="480" w:lineRule="exact"/>
              <w:rPr>
                <w:rFonts w:hint="eastAsia" w:ascii="仿宋_GB2312" w:hAnsi="仿宋_GB2312" w:eastAsia="仿宋_GB2312" w:cs="仿宋_GB2312"/>
                <w:color w:val="auto"/>
                <w:sz w:val="28"/>
                <w:szCs w:val="28"/>
                <w:highlight w:val="none"/>
                <w:lang w:eastAsia="zh-CN"/>
              </w:rPr>
            </w:pPr>
            <w:r>
              <w:rPr>
                <w:rFonts w:hint="eastAsia" w:ascii="仿宋_GB2312" w:hAnsi="仿宋_GB2312" w:eastAsia="仿宋_GB2312" w:cs="仿宋_GB2312"/>
                <w:color w:val="auto"/>
                <w:sz w:val="28"/>
                <w:szCs w:val="28"/>
                <w:highlight w:val="none"/>
              </w:rPr>
              <w:t>报价要求</w:t>
            </w:r>
            <w:r>
              <w:rPr>
                <w:rFonts w:hint="eastAsia" w:ascii="仿宋_GB2312" w:hAnsi="仿宋_GB2312" w:eastAsia="仿宋_GB2312" w:cs="仿宋_GB2312"/>
                <w:color w:val="auto"/>
                <w:kern w:val="0"/>
                <w:sz w:val="28"/>
                <w:szCs w:val="28"/>
                <w:highlight w:val="none"/>
              </w:rPr>
              <w:t>：超过采购</w:t>
            </w:r>
            <w:r>
              <w:rPr>
                <w:rFonts w:hint="eastAsia" w:ascii="仿宋_GB2312" w:hAnsi="仿宋_GB2312" w:eastAsia="仿宋_GB2312" w:cs="仿宋_GB2312"/>
                <w:color w:val="auto"/>
                <w:kern w:val="0"/>
                <w:sz w:val="28"/>
                <w:szCs w:val="28"/>
                <w:highlight w:val="none"/>
                <w:lang w:eastAsia="zh-CN"/>
              </w:rPr>
              <w:t>限价</w:t>
            </w:r>
            <w:r>
              <w:rPr>
                <w:rFonts w:hint="eastAsia" w:ascii="仿宋_GB2312" w:hAnsi="仿宋_GB2312" w:eastAsia="仿宋_GB2312" w:cs="仿宋_GB2312"/>
                <w:color w:val="auto"/>
                <w:kern w:val="0"/>
                <w:sz w:val="28"/>
                <w:szCs w:val="28"/>
                <w:highlight w:val="none"/>
              </w:rPr>
              <w:t>的报价无效</w:t>
            </w:r>
            <w:r>
              <w:rPr>
                <w:rFonts w:hint="eastAsia" w:ascii="仿宋_GB2312" w:hAnsi="仿宋_GB2312" w:eastAsia="仿宋_GB2312" w:cs="仿宋_GB2312"/>
                <w:color w:val="auto"/>
                <w:kern w:val="0"/>
                <w:sz w:val="28"/>
                <w:szCs w:val="28"/>
                <w:highlight w:val="none"/>
                <w:lang w:eastAsia="zh-CN"/>
              </w:rPr>
              <w:t>。</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1494" w:hRule="exact"/>
          <w:jc w:val="center"/>
        </w:trPr>
        <w:tc>
          <w:tcPr>
            <w:tcW w:w="1013" w:type="dxa"/>
            <w:vAlign w:val="center"/>
          </w:tcPr>
          <w:p>
            <w:pPr>
              <w:spacing w:line="408" w:lineRule="auto"/>
              <w:jc w:val="center"/>
              <w:rPr>
                <w:rFonts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2</w:t>
            </w:r>
          </w:p>
        </w:tc>
        <w:tc>
          <w:tcPr>
            <w:tcW w:w="2409" w:type="dxa"/>
            <w:vAlign w:val="center"/>
          </w:tcPr>
          <w:p>
            <w:pPr>
              <w:spacing w:line="408" w:lineRule="auto"/>
              <w:jc w:val="center"/>
              <w:rPr>
                <w:rFonts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结算要求</w:t>
            </w:r>
          </w:p>
          <w:p>
            <w:pPr>
              <w:spacing w:line="408" w:lineRule="auto"/>
              <w:jc w:val="center"/>
              <w:rPr>
                <w:rFonts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（实质性要求）</w:t>
            </w:r>
          </w:p>
        </w:tc>
        <w:tc>
          <w:tcPr>
            <w:tcW w:w="6084" w:type="dxa"/>
            <w:vAlign w:val="center"/>
          </w:tcPr>
          <w:p>
            <w:pPr>
              <w:spacing w:line="408" w:lineRule="auto"/>
              <w:rPr>
                <w:color w:val="auto"/>
                <w:highlight w:val="none"/>
              </w:rPr>
            </w:pPr>
            <w:r>
              <w:rPr>
                <w:rFonts w:hint="eastAsia" w:ascii="仿宋_GB2312" w:hAnsi="仿宋_GB2312" w:eastAsia="仿宋_GB2312" w:cs="仿宋_GB2312"/>
                <w:color w:val="auto"/>
                <w:kern w:val="0"/>
                <w:sz w:val="28"/>
                <w:szCs w:val="28"/>
                <w:highlight w:val="none"/>
              </w:rPr>
              <w:t>按合同包干价结算。</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10501" w:hRule="exact"/>
          <w:jc w:val="center"/>
        </w:trPr>
        <w:tc>
          <w:tcPr>
            <w:tcW w:w="1013" w:type="dxa"/>
            <w:vAlign w:val="center"/>
          </w:tcPr>
          <w:p>
            <w:pPr>
              <w:spacing w:line="408" w:lineRule="auto"/>
              <w:jc w:val="center"/>
              <w:rPr>
                <w:rFonts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3</w:t>
            </w:r>
          </w:p>
        </w:tc>
        <w:tc>
          <w:tcPr>
            <w:tcW w:w="2409" w:type="dxa"/>
            <w:vAlign w:val="center"/>
          </w:tcPr>
          <w:p>
            <w:pPr>
              <w:spacing w:line="408" w:lineRule="auto"/>
              <w:jc w:val="center"/>
              <w:rPr>
                <w:rFonts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低于成本价</w:t>
            </w:r>
          </w:p>
          <w:p>
            <w:pPr>
              <w:spacing w:line="408" w:lineRule="auto"/>
              <w:jc w:val="center"/>
              <w:rPr>
                <w:rFonts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不正当竞争预防措施（实质性要求）</w:t>
            </w:r>
          </w:p>
        </w:tc>
        <w:tc>
          <w:tcPr>
            <w:tcW w:w="6084" w:type="dxa"/>
            <w:vAlign w:val="center"/>
          </w:tcPr>
          <w:p>
            <w:pPr>
              <w:spacing w:line="408" w:lineRule="auto"/>
              <w:ind w:firstLine="560" w:firstLineChars="200"/>
              <w:rPr>
                <w:rFonts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1、在评审过程中，谈判小组认为供应商的报价明显低于其他供应商的报价，有可能影响产品质量或者不能诚信履约的，谈判小组应当要求其在谈判现场合理的时间内提供书面说明，并提交相关证明材料，供应商不能证明其报价合理性的，谈判小组应当将其作为无效处理。</w:t>
            </w:r>
          </w:p>
          <w:p>
            <w:pPr>
              <w:spacing w:line="408" w:lineRule="auto"/>
              <w:ind w:firstLine="560" w:firstLineChars="200"/>
              <w:rPr>
                <w:rFonts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2、供应商的书面说明材料应当按照国家财务会计制度的规定要求，逐项就供应商提供的货物、工程和服务的主营业务成本、税金及附加、销售费用、管理费用、财务费用等成本构成事项详细陈述。</w:t>
            </w:r>
          </w:p>
          <w:p>
            <w:pPr>
              <w:spacing w:line="408" w:lineRule="auto"/>
              <w:ind w:firstLine="560" w:firstLineChars="200"/>
              <w:rPr>
                <w:rFonts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3、供应商提供书面说明后，谈判小组应当结合采购项目采购需求、专业实际情况、供应商财务状况报告、与其他供应商比较情况等就供应商书面说明进行审查评价。供应商拒绝或者变相拒绝提供有效书面说明或者书面说明不能证明其报价合理性的或未在规定时间内递交有效书面说明书的，谈判小组应当将其响应文件作为无效处理。</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690" w:hRule="atLeast"/>
          <w:jc w:val="center"/>
        </w:trPr>
        <w:tc>
          <w:tcPr>
            <w:tcW w:w="1013" w:type="dxa"/>
            <w:vAlign w:val="center"/>
          </w:tcPr>
          <w:p>
            <w:pPr>
              <w:spacing w:line="408" w:lineRule="auto"/>
              <w:jc w:val="center"/>
              <w:rPr>
                <w:rFonts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4</w:t>
            </w:r>
          </w:p>
        </w:tc>
        <w:tc>
          <w:tcPr>
            <w:tcW w:w="2409" w:type="dxa"/>
            <w:vAlign w:val="center"/>
          </w:tcPr>
          <w:p>
            <w:pPr>
              <w:spacing w:line="432" w:lineRule="auto"/>
              <w:jc w:val="center"/>
              <w:rPr>
                <w:rFonts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小微企业规定和失信企业惩戒</w:t>
            </w:r>
          </w:p>
          <w:p>
            <w:pPr>
              <w:spacing w:line="432" w:lineRule="auto"/>
              <w:jc w:val="center"/>
              <w:rPr>
                <w:rFonts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（实质性要求）</w:t>
            </w:r>
          </w:p>
        </w:tc>
        <w:tc>
          <w:tcPr>
            <w:tcW w:w="6084" w:type="dxa"/>
          </w:tcPr>
          <w:p>
            <w:pPr>
              <w:spacing w:line="432" w:lineRule="auto"/>
              <w:rPr>
                <w:rFonts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一、小微企业规定</w:t>
            </w:r>
          </w:p>
          <w:p>
            <w:pPr>
              <w:spacing w:line="432" w:lineRule="auto"/>
              <w:ind w:firstLine="560" w:firstLineChars="200"/>
              <w:rPr>
                <w:rFonts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1、根据《政府采购促进中小企业发展管理办法》（财库〔2020〕46 号）和《关于进一步加大政府采购支持中小企业力度的通知》（财库〔2022〕19号）的规定,对小型和微型企业产品的价格给予20%的价格扣除，用扣除后的价格参与评审。</w:t>
            </w:r>
          </w:p>
          <w:p>
            <w:pPr>
              <w:spacing w:line="432" w:lineRule="auto"/>
              <w:ind w:firstLine="560" w:firstLineChars="200"/>
              <w:rPr>
                <w:rFonts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2、参加采购活动的中小企业应当提供《中小企业声明函》原件。</w:t>
            </w:r>
          </w:p>
          <w:p>
            <w:pPr>
              <w:spacing w:line="432" w:lineRule="auto"/>
              <w:ind w:firstLine="560" w:firstLineChars="200"/>
              <w:rPr>
                <w:rFonts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3、监狱企业应当提供《监狱企业证明》原件。</w:t>
            </w:r>
          </w:p>
          <w:p>
            <w:pPr>
              <w:spacing w:line="432" w:lineRule="auto"/>
              <w:ind w:firstLine="560" w:firstLineChars="200"/>
              <w:rPr>
                <w:rFonts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4、残疾人福利性单位应当提供《残疾人福利性单位声明函》原件。</w:t>
            </w:r>
          </w:p>
          <w:p>
            <w:pPr>
              <w:spacing w:line="432" w:lineRule="auto"/>
              <w:ind w:firstLine="560" w:firstLineChars="200"/>
              <w:rPr>
                <w:rFonts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5、本项目采购内容对应的中小企业划分标准所属行业为: 其他未列明行业。</w:t>
            </w:r>
          </w:p>
          <w:p>
            <w:pPr>
              <w:spacing w:line="432" w:lineRule="auto"/>
              <w:rPr>
                <w:rFonts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二、失信企业惩戒</w:t>
            </w:r>
          </w:p>
          <w:p>
            <w:pPr>
              <w:spacing w:line="432" w:lineRule="auto"/>
              <w:ind w:firstLine="560" w:firstLineChars="200"/>
              <w:rPr>
                <w:rFonts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1、失信企业严格按照《四川省公共资源交易领域严重失信联合惩戒实施办法》(川发改信用规〔2019〕405号)和《关于对政府采购领域严重违法失信主体开展联合惩戒的合作备忘录》（发改财金〔2018〕1614号）执行。</w:t>
            </w:r>
          </w:p>
          <w:p>
            <w:pPr>
              <w:spacing w:line="432" w:lineRule="auto"/>
              <w:ind w:firstLine="560" w:firstLineChars="200"/>
              <w:rPr>
                <w:rFonts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2、供应商参加采购活动时，应当就自己的诚信情况在响应文件中进行承诺。</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775" w:hRule="exact"/>
          <w:jc w:val="center"/>
        </w:trPr>
        <w:tc>
          <w:tcPr>
            <w:tcW w:w="1013" w:type="dxa"/>
            <w:vAlign w:val="center"/>
          </w:tcPr>
          <w:p>
            <w:pPr>
              <w:spacing w:line="408" w:lineRule="auto"/>
              <w:jc w:val="center"/>
              <w:rPr>
                <w:rFonts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5</w:t>
            </w:r>
          </w:p>
        </w:tc>
        <w:tc>
          <w:tcPr>
            <w:tcW w:w="2409" w:type="dxa"/>
            <w:vAlign w:val="center"/>
          </w:tcPr>
          <w:p>
            <w:pPr>
              <w:spacing w:line="408" w:lineRule="auto"/>
              <w:jc w:val="center"/>
              <w:rPr>
                <w:rFonts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谈判保证金</w:t>
            </w:r>
          </w:p>
        </w:tc>
        <w:tc>
          <w:tcPr>
            <w:tcW w:w="6084" w:type="dxa"/>
            <w:vAlign w:val="center"/>
          </w:tcPr>
          <w:p>
            <w:pPr>
              <w:spacing w:line="408" w:lineRule="auto"/>
              <w:ind w:firstLine="280" w:firstLineChars="100"/>
              <w:jc w:val="left"/>
              <w:rPr>
                <w:rFonts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本项目不收取谈判保证金</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838" w:hRule="exact"/>
          <w:jc w:val="center"/>
        </w:trPr>
        <w:tc>
          <w:tcPr>
            <w:tcW w:w="1013" w:type="dxa"/>
            <w:vAlign w:val="center"/>
          </w:tcPr>
          <w:p>
            <w:pPr>
              <w:spacing w:line="408" w:lineRule="auto"/>
              <w:jc w:val="center"/>
              <w:rPr>
                <w:rFonts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6</w:t>
            </w:r>
          </w:p>
        </w:tc>
        <w:tc>
          <w:tcPr>
            <w:tcW w:w="2409" w:type="dxa"/>
            <w:vAlign w:val="center"/>
          </w:tcPr>
          <w:p>
            <w:pPr>
              <w:spacing w:line="408" w:lineRule="auto"/>
              <w:jc w:val="center"/>
              <w:rPr>
                <w:rFonts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履约保证金</w:t>
            </w:r>
          </w:p>
        </w:tc>
        <w:tc>
          <w:tcPr>
            <w:tcW w:w="6084" w:type="dxa"/>
            <w:vAlign w:val="center"/>
          </w:tcPr>
          <w:p>
            <w:pPr>
              <w:pStyle w:val="4"/>
              <w:spacing w:line="408" w:lineRule="auto"/>
              <w:jc w:val="left"/>
              <w:rPr>
                <w:rFonts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 xml:space="preserve">  本项目不收取履约保证金</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1163" w:hRule="exact"/>
          <w:jc w:val="center"/>
        </w:trPr>
        <w:tc>
          <w:tcPr>
            <w:tcW w:w="1013" w:type="dxa"/>
            <w:vAlign w:val="center"/>
          </w:tcPr>
          <w:p>
            <w:pPr>
              <w:spacing w:line="408" w:lineRule="auto"/>
              <w:jc w:val="center"/>
              <w:rPr>
                <w:rFonts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7</w:t>
            </w:r>
          </w:p>
        </w:tc>
        <w:tc>
          <w:tcPr>
            <w:tcW w:w="2409" w:type="dxa"/>
            <w:vAlign w:val="center"/>
          </w:tcPr>
          <w:p>
            <w:pPr>
              <w:spacing w:line="408" w:lineRule="auto"/>
              <w:jc w:val="center"/>
              <w:rPr>
                <w:rFonts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竞争性谈判文件咨询</w:t>
            </w:r>
          </w:p>
        </w:tc>
        <w:tc>
          <w:tcPr>
            <w:tcW w:w="6084" w:type="dxa"/>
            <w:vAlign w:val="center"/>
          </w:tcPr>
          <w:p>
            <w:pPr>
              <w:spacing w:line="408" w:lineRule="auto"/>
              <w:ind w:firstLine="280" w:firstLineChars="100"/>
              <w:jc w:val="left"/>
              <w:rPr>
                <w:rFonts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联系人：</w:t>
            </w:r>
            <w:r>
              <w:rPr>
                <w:rFonts w:hint="eastAsia" w:ascii="仿宋_GB2312" w:hAnsi="仿宋_GB2312" w:eastAsia="仿宋_GB2312" w:cs="仿宋_GB2312"/>
                <w:color w:val="auto"/>
                <w:sz w:val="28"/>
                <w:szCs w:val="28"/>
                <w:highlight w:val="none"/>
                <w:lang w:eastAsia="zh-CN"/>
              </w:rPr>
              <w:t>李</w:t>
            </w:r>
            <w:r>
              <w:rPr>
                <w:rFonts w:hint="eastAsia" w:ascii="仿宋_GB2312" w:hAnsi="仿宋_GB2312" w:eastAsia="仿宋_GB2312" w:cs="仿宋_GB2312"/>
                <w:color w:val="auto"/>
                <w:sz w:val="28"/>
                <w:szCs w:val="28"/>
                <w:highlight w:val="none"/>
              </w:rPr>
              <w:t xml:space="preserve">老师  联系电话：0818-2532703          </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618" w:hRule="atLeast"/>
          <w:jc w:val="center"/>
        </w:trPr>
        <w:tc>
          <w:tcPr>
            <w:tcW w:w="1013" w:type="dxa"/>
            <w:tcBorders>
              <w:top w:val="single" w:color="auto" w:sz="8" w:space="0"/>
              <w:left w:val="single" w:color="auto" w:sz="18" w:space="0"/>
              <w:bottom w:val="single" w:color="auto" w:sz="8" w:space="0"/>
              <w:right w:val="single" w:color="auto" w:sz="8" w:space="0"/>
            </w:tcBorders>
            <w:vAlign w:val="center"/>
          </w:tcPr>
          <w:p>
            <w:pPr>
              <w:spacing w:line="408" w:lineRule="auto"/>
              <w:jc w:val="center"/>
              <w:rPr>
                <w:rFonts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8</w:t>
            </w:r>
          </w:p>
        </w:tc>
        <w:tc>
          <w:tcPr>
            <w:tcW w:w="2409" w:type="dxa"/>
            <w:tcBorders>
              <w:top w:val="single" w:color="auto" w:sz="8" w:space="0"/>
              <w:left w:val="single" w:color="auto" w:sz="8" w:space="0"/>
              <w:bottom w:val="single" w:color="auto" w:sz="8" w:space="0"/>
              <w:right w:val="single" w:color="auto" w:sz="8" w:space="0"/>
            </w:tcBorders>
            <w:vAlign w:val="center"/>
          </w:tcPr>
          <w:p>
            <w:pPr>
              <w:spacing w:line="408" w:lineRule="auto"/>
              <w:jc w:val="center"/>
              <w:rPr>
                <w:rFonts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联合体谈判</w:t>
            </w:r>
          </w:p>
        </w:tc>
        <w:tc>
          <w:tcPr>
            <w:tcW w:w="6084" w:type="dxa"/>
            <w:tcBorders>
              <w:top w:val="single" w:color="auto" w:sz="8" w:space="0"/>
              <w:left w:val="single" w:color="auto" w:sz="8" w:space="0"/>
              <w:bottom w:val="single" w:color="auto" w:sz="8" w:space="0"/>
              <w:right w:val="single" w:color="auto" w:sz="18" w:space="0"/>
            </w:tcBorders>
            <w:vAlign w:val="center"/>
          </w:tcPr>
          <w:p>
            <w:pPr>
              <w:spacing w:line="408" w:lineRule="auto"/>
              <w:jc w:val="left"/>
              <w:rPr>
                <w:rFonts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本项目不接受联合体谈判</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618" w:hRule="atLeast"/>
          <w:jc w:val="center"/>
        </w:trPr>
        <w:tc>
          <w:tcPr>
            <w:tcW w:w="1013" w:type="dxa"/>
            <w:tcBorders>
              <w:top w:val="single" w:color="auto" w:sz="8" w:space="0"/>
              <w:left w:val="single" w:color="auto" w:sz="18" w:space="0"/>
              <w:bottom w:val="single" w:color="auto" w:sz="8" w:space="0"/>
              <w:right w:val="single" w:color="auto" w:sz="8" w:space="0"/>
            </w:tcBorders>
            <w:vAlign w:val="center"/>
          </w:tcPr>
          <w:p>
            <w:pPr>
              <w:spacing w:line="408" w:lineRule="auto"/>
              <w:jc w:val="center"/>
              <w:rPr>
                <w:rFonts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9</w:t>
            </w:r>
          </w:p>
        </w:tc>
        <w:tc>
          <w:tcPr>
            <w:tcW w:w="2409" w:type="dxa"/>
            <w:tcBorders>
              <w:top w:val="single" w:color="auto" w:sz="8" w:space="0"/>
              <w:left w:val="single" w:color="auto" w:sz="8" w:space="0"/>
              <w:bottom w:val="single" w:color="auto" w:sz="8" w:space="0"/>
              <w:right w:val="single" w:color="auto" w:sz="8" w:space="0"/>
            </w:tcBorders>
            <w:vAlign w:val="center"/>
          </w:tcPr>
          <w:p>
            <w:pPr>
              <w:spacing w:line="408" w:lineRule="auto"/>
              <w:jc w:val="center"/>
              <w:rPr>
                <w:rFonts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采购方式</w:t>
            </w:r>
          </w:p>
        </w:tc>
        <w:tc>
          <w:tcPr>
            <w:tcW w:w="6084" w:type="dxa"/>
            <w:tcBorders>
              <w:top w:val="single" w:color="auto" w:sz="8" w:space="0"/>
              <w:left w:val="single" w:color="auto" w:sz="8" w:space="0"/>
              <w:bottom w:val="single" w:color="auto" w:sz="8" w:space="0"/>
              <w:right w:val="single" w:color="auto" w:sz="18" w:space="0"/>
            </w:tcBorders>
            <w:vAlign w:val="center"/>
          </w:tcPr>
          <w:p>
            <w:pPr>
              <w:spacing w:line="408" w:lineRule="auto"/>
              <w:jc w:val="left"/>
              <w:rPr>
                <w:rFonts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竞争性谈判</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618" w:hRule="atLeast"/>
          <w:jc w:val="center"/>
        </w:trPr>
        <w:tc>
          <w:tcPr>
            <w:tcW w:w="1013" w:type="dxa"/>
            <w:tcBorders>
              <w:top w:val="single" w:color="auto" w:sz="8" w:space="0"/>
              <w:left w:val="single" w:color="auto" w:sz="18" w:space="0"/>
              <w:bottom w:val="single" w:color="auto" w:sz="8" w:space="0"/>
              <w:right w:val="single" w:color="auto" w:sz="8" w:space="0"/>
            </w:tcBorders>
            <w:vAlign w:val="center"/>
          </w:tcPr>
          <w:p>
            <w:pPr>
              <w:spacing w:line="408" w:lineRule="auto"/>
              <w:jc w:val="center"/>
              <w:rPr>
                <w:rFonts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10</w:t>
            </w:r>
          </w:p>
        </w:tc>
        <w:tc>
          <w:tcPr>
            <w:tcW w:w="2409" w:type="dxa"/>
            <w:tcBorders>
              <w:top w:val="single" w:color="auto" w:sz="8" w:space="0"/>
              <w:left w:val="single" w:color="auto" w:sz="8" w:space="0"/>
              <w:bottom w:val="single" w:color="auto" w:sz="8" w:space="0"/>
              <w:right w:val="single" w:color="auto" w:sz="8" w:space="0"/>
            </w:tcBorders>
            <w:vAlign w:val="center"/>
          </w:tcPr>
          <w:p>
            <w:pPr>
              <w:spacing w:line="408" w:lineRule="auto"/>
              <w:jc w:val="center"/>
              <w:rPr>
                <w:rFonts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评审方法</w:t>
            </w:r>
          </w:p>
        </w:tc>
        <w:tc>
          <w:tcPr>
            <w:tcW w:w="6084" w:type="dxa"/>
            <w:tcBorders>
              <w:top w:val="single" w:color="auto" w:sz="8" w:space="0"/>
              <w:left w:val="single" w:color="auto" w:sz="8" w:space="0"/>
              <w:bottom w:val="single" w:color="auto" w:sz="8" w:space="0"/>
              <w:right w:val="single" w:color="auto" w:sz="18" w:space="0"/>
            </w:tcBorders>
            <w:vAlign w:val="center"/>
          </w:tcPr>
          <w:p>
            <w:pPr>
              <w:spacing w:line="408" w:lineRule="auto"/>
              <w:jc w:val="left"/>
              <w:rPr>
                <w:rFonts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最低评标价法</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756" w:hRule="atLeast"/>
          <w:jc w:val="center"/>
        </w:trPr>
        <w:tc>
          <w:tcPr>
            <w:tcW w:w="1013" w:type="dxa"/>
            <w:tcBorders>
              <w:top w:val="single" w:color="auto" w:sz="8" w:space="0"/>
              <w:left w:val="single" w:color="auto" w:sz="18" w:space="0"/>
              <w:bottom w:val="single" w:color="auto" w:sz="8" w:space="0"/>
              <w:right w:val="single" w:color="auto" w:sz="8" w:space="0"/>
            </w:tcBorders>
            <w:vAlign w:val="center"/>
          </w:tcPr>
          <w:p>
            <w:pPr>
              <w:spacing w:line="408" w:lineRule="auto"/>
              <w:jc w:val="center"/>
              <w:rPr>
                <w:rFonts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11</w:t>
            </w:r>
          </w:p>
        </w:tc>
        <w:tc>
          <w:tcPr>
            <w:tcW w:w="2409" w:type="dxa"/>
            <w:tcBorders>
              <w:top w:val="single" w:color="auto" w:sz="8" w:space="0"/>
              <w:left w:val="single" w:color="auto" w:sz="8" w:space="0"/>
              <w:bottom w:val="single" w:color="auto" w:sz="8" w:space="0"/>
              <w:right w:val="single" w:color="auto" w:sz="8" w:space="0"/>
            </w:tcBorders>
            <w:vAlign w:val="center"/>
          </w:tcPr>
          <w:p>
            <w:pPr>
              <w:spacing w:line="408" w:lineRule="auto"/>
              <w:jc w:val="center"/>
              <w:rPr>
                <w:rFonts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进口产品</w:t>
            </w:r>
          </w:p>
          <w:p>
            <w:pPr>
              <w:spacing w:line="408" w:lineRule="auto"/>
              <w:jc w:val="center"/>
              <w:rPr>
                <w:rFonts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（本项目不涉及）</w:t>
            </w:r>
          </w:p>
        </w:tc>
        <w:tc>
          <w:tcPr>
            <w:tcW w:w="6084" w:type="dxa"/>
            <w:tcBorders>
              <w:top w:val="single" w:color="auto" w:sz="8" w:space="0"/>
              <w:left w:val="single" w:color="auto" w:sz="8" w:space="0"/>
              <w:bottom w:val="single" w:color="auto" w:sz="8" w:space="0"/>
              <w:right w:val="single" w:color="auto" w:sz="18" w:space="0"/>
            </w:tcBorders>
            <w:vAlign w:val="center"/>
          </w:tcPr>
          <w:p>
            <w:pPr>
              <w:spacing w:line="432" w:lineRule="auto"/>
              <w:ind w:firstLine="560" w:firstLineChars="200"/>
              <w:rPr>
                <w:rFonts w:ascii="仿宋_GB2312" w:hAnsi="仿宋_GB2312" w:eastAsia="仿宋_GB2312" w:cs="仿宋_GB2312"/>
                <w:color w:val="auto"/>
                <w:sz w:val="28"/>
                <w:szCs w:val="28"/>
                <w:highlight w:val="none"/>
              </w:rPr>
            </w:pPr>
            <w:bookmarkStart w:id="10" w:name="PO_默认文件内容_10"/>
            <w:r>
              <w:rPr>
                <w:rFonts w:hint="eastAsia" w:ascii="仿宋_GB2312" w:hAnsi="仿宋_GB2312" w:eastAsia="仿宋_GB2312" w:cs="仿宋_GB2312"/>
                <w:color w:val="auto"/>
                <w:sz w:val="28"/>
                <w:szCs w:val="28"/>
                <w:highlight w:val="none"/>
              </w:rPr>
              <w:t>本项目竞争性谈判文件中未载明“允许采购进口产品”的产品，拒绝进口产品参与竞争，供应商以进口产品响应时，其响应文件按无效处理。载明“允许采购进口产品”的产品，不限制国产产品参与竞争。</w:t>
            </w:r>
            <w:bookmarkEnd w:id="10"/>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756" w:hRule="atLeast"/>
          <w:jc w:val="center"/>
        </w:trPr>
        <w:tc>
          <w:tcPr>
            <w:tcW w:w="1013" w:type="dxa"/>
            <w:tcBorders>
              <w:top w:val="single" w:color="auto" w:sz="8" w:space="0"/>
              <w:left w:val="single" w:color="auto" w:sz="18" w:space="0"/>
              <w:bottom w:val="single" w:color="auto" w:sz="8" w:space="0"/>
              <w:right w:val="single" w:color="auto" w:sz="8" w:space="0"/>
            </w:tcBorders>
            <w:vAlign w:val="center"/>
          </w:tcPr>
          <w:p>
            <w:pPr>
              <w:spacing w:line="408" w:lineRule="auto"/>
              <w:jc w:val="center"/>
              <w:rPr>
                <w:rFonts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12</w:t>
            </w:r>
          </w:p>
        </w:tc>
        <w:tc>
          <w:tcPr>
            <w:tcW w:w="2409" w:type="dxa"/>
            <w:tcBorders>
              <w:top w:val="single" w:color="auto" w:sz="8" w:space="0"/>
              <w:left w:val="single" w:color="auto" w:sz="8" w:space="0"/>
              <w:bottom w:val="single" w:color="auto" w:sz="8" w:space="0"/>
              <w:right w:val="single" w:color="auto" w:sz="8" w:space="0"/>
            </w:tcBorders>
            <w:vAlign w:val="center"/>
          </w:tcPr>
          <w:p>
            <w:pPr>
              <w:spacing w:line="408" w:lineRule="auto"/>
              <w:jc w:val="center"/>
              <w:rPr>
                <w:rFonts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国家规定的强制采购范围内产品评审</w:t>
            </w:r>
          </w:p>
          <w:p>
            <w:pPr>
              <w:spacing w:line="408" w:lineRule="auto"/>
              <w:jc w:val="center"/>
              <w:rPr>
                <w:rFonts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（本项目不涉及）</w:t>
            </w:r>
          </w:p>
        </w:tc>
        <w:tc>
          <w:tcPr>
            <w:tcW w:w="6084" w:type="dxa"/>
            <w:tcBorders>
              <w:top w:val="single" w:color="auto" w:sz="8" w:space="0"/>
              <w:left w:val="single" w:color="auto" w:sz="8" w:space="0"/>
              <w:bottom w:val="single" w:color="auto" w:sz="8" w:space="0"/>
              <w:right w:val="single" w:color="auto" w:sz="18" w:space="0"/>
            </w:tcBorders>
            <w:vAlign w:val="center"/>
          </w:tcPr>
          <w:p>
            <w:pPr>
              <w:spacing w:line="408" w:lineRule="auto"/>
              <w:ind w:firstLine="560" w:firstLineChars="200"/>
              <w:rPr>
                <w:rFonts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本项目采购需求中如涉及“政府采购节能产品、环境标志产品实施品目清单”的强制采购产品，提供国家确定的认证机构出具处于有效期之内的节能产品、环境标志产品认证证书，否则作为无效响应处理。</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756" w:hRule="atLeast"/>
          <w:jc w:val="center"/>
        </w:trPr>
        <w:tc>
          <w:tcPr>
            <w:tcW w:w="1013" w:type="dxa"/>
            <w:tcBorders>
              <w:top w:val="single" w:color="auto" w:sz="8" w:space="0"/>
              <w:left w:val="single" w:color="auto" w:sz="18" w:space="0"/>
              <w:bottom w:val="single" w:color="auto" w:sz="8" w:space="0"/>
              <w:right w:val="single" w:color="auto" w:sz="8" w:space="0"/>
            </w:tcBorders>
            <w:vAlign w:val="center"/>
          </w:tcPr>
          <w:p>
            <w:pPr>
              <w:spacing w:line="408" w:lineRule="auto"/>
              <w:jc w:val="center"/>
              <w:rPr>
                <w:rFonts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13</w:t>
            </w:r>
          </w:p>
        </w:tc>
        <w:tc>
          <w:tcPr>
            <w:tcW w:w="2409" w:type="dxa"/>
            <w:tcBorders>
              <w:top w:val="single" w:color="auto" w:sz="8" w:space="0"/>
              <w:left w:val="single" w:color="auto" w:sz="8" w:space="0"/>
              <w:bottom w:val="single" w:color="auto" w:sz="8" w:space="0"/>
              <w:right w:val="single" w:color="auto" w:sz="8" w:space="0"/>
            </w:tcBorders>
            <w:vAlign w:val="center"/>
          </w:tcPr>
          <w:p>
            <w:pPr>
              <w:spacing w:line="408" w:lineRule="auto"/>
              <w:jc w:val="center"/>
              <w:rPr>
                <w:rFonts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国家规定的优先采购范围内产品评审</w:t>
            </w:r>
          </w:p>
          <w:p>
            <w:pPr>
              <w:spacing w:line="408" w:lineRule="auto"/>
              <w:jc w:val="center"/>
              <w:rPr>
                <w:rFonts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（本项目不涉及）</w:t>
            </w:r>
          </w:p>
        </w:tc>
        <w:tc>
          <w:tcPr>
            <w:tcW w:w="6084" w:type="dxa"/>
            <w:tcBorders>
              <w:top w:val="single" w:color="auto" w:sz="8" w:space="0"/>
              <w:left w:val="single" w:color="auto" w:sz="8" w:space="0"/>
              <w:bottom w:val="single" w:color="auto" w:sz="8" w:space="0"/>
              <w:right w:val="single" w:color="auto" w:sz="18" w:space="0"/>
            </w:tcBorders>
            <w:vAlign w:val="center"/>
          </w:tcPr>
          <w:p>
            <w:pPr>
              <w:spacing w:line="408" w:lineRule="auto"/>
              <w:ind w:firstLine="560" w:firstLineChars="200"/>
              <w:rPr>
                <w:rFonts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本项目采购需求中如涉及政府采购优先采购范围的节能产品或者环境标志产品或者无线局域网产品的，提供国家确定的认证机构出具处于有效期之内的节能产品、环境标志产品、无线局域网产品认证证书，报价相同的，本项目实行优先采购。</w:t>
            </w:r>
          </w:p>
        </w:tc>
      </w:tr>
    </w:tbl>
    <w:p>
      <w:pPr>
        <w:pStyle w:val="2"/>
        <w:keepNext w:val="0"/>
        <w:keepLines w:val="0"/>
        <w:spacing w:before="0" w:after="0" w:line="578" w:lineRule="exact"/>
        <w:jc w:val="center"/>
        <w:rPr>
          <w:rFonts w:ascii="宋体" w:hAnsi="宋体" w:eastAsia="宋体"/>
          <w:bCs w:val="0"/>
          <w:color w:val="auto"/>
          <w:highlight w:val="none"/>
        </w:rPr>
      </w:pPr>
      <w:r>
        <w:rPr>
          <w:rFonts w:hint="eastAsia" w:ascii="宋体" w:hAnsi="宋体" w:eastAsia="宋体"/>
          <w:bCs w:val="0"/>
          <w:color w:val="auto"/>
          <w:highlight w:val="none"/>
        </w:rPr>
        <w:br w:type="page"/>
      </w:r>
      <w:r>
        <w:rPr>
          <w:rFonts w:hint="eastAsia" w:ascii="黑体" w:hAnsi="黑体" w:cs="黑体"/>
          <w:b w:val="0"/>
          <w:color w:val="auto"/>
          <w:highlight w:val="none"/>
        </w:rPr>
        <w:t>二、总  则</w:t>
      </w:r>
    </w:p>
    <w:p>
      <w:pPr>
        <w:spacing w:line="578" w:lineRule="exact"/>
        <w:ind w:firstLine="642" w:firstLineChars="200"/>
        <w:rPr>
          <w:rFonts w:ascii="仿宋_GB2312" w:hAnsi="仿宋_GB2312" w:eastAsia="仿宋_GB2312" w:cs="仿宋_GB2312"/>
          <w:b/>
          <w:bCs/>
          <w:color w:val="auto"/>
          <w:highlight w:val="none"/>
        </w:rPr>
      </w:pPr>
      <w:bookmarkStart w:id="11" w:name="_Toc183682342"/>
      <w:bookmarkStart w:id="12" w:name="_Toc183582205"/>
      <w:bookmarkStart w:id="13" w:name="_Toc217446034"/>
      <w:r>
        <w:rPr>
          <w:rFonts w:hint="eastAsia" w:ascii="仿宋_GB2312" w:hAnsi="仿宋_GB2312" w:eastAsia="仿宋_GB2312" w:cs="仿宋_GB2312"/>
          <w:b/>
          <w:bCs/>
          <w:color w:val="auto"/>
          <w:highlight w:val="none"/>
        </w:rPr>
        <w:t>1.</w:t>
      </w:r>
      <w:bookmarkEnd w:id="11"/>
      <w:bookmarkEnd w:id="12"/>
      <w:r>
        <w:rPr>
          <w:rFonts w:hint="eastAsia" w:ascii="仿宋_GB2312" w:hAnsi="仿宋_GB2312" w:eastAsia="仿宋_GB2312" w:cs="仿宋_GB2312"/>
          <w:b/>
          <w:bCs/>
          <w:color w:val="auto"/>
          <w:highlight w:val="none"/>
        </w:rPr>
        <w:t>适用范围</w:t>
      </w:r>
      <w:bookmarkEnd w:id="13"/>
    </w:p>
    <w:p>
      <w:pPr>
        <w:tabs>
          <w:tab w:val="left" w:pos="7665"/>
        </w:tabs>
        <w:spacing w:line="578" w:lineRule="exact"/>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1.1 本谈判文件仅适用于本次谈判所叙述的项目采购。</w:t>
      </w:r>
    </w:p>
    <w:p>
      <w:pPr>
        <w:tabs>
          <w:tab w:val="left" w:pos="7665"/>
        </w:tabs>
        <w:spacing w:line="578" w:lineRule="exact"/>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1.2 本谈判文件的解释权归采购人。</w:t>
      </w:r>
    </w:p>
    <w:p>
      <w:pPr>
        <w:spacing w:line="578" w:lineRule="exact"/>
        <w:ind w:firstLine="642" w:firstLineChars="200"/>
        <w:rPr>
          <w:rFonts w:ascii="仿宋_GB2312" w:hAnsi="仿宋_GB2312" w:eastAsia="仿宋_GB2312" w:cs="仿宋_GB2312"/>
          <w:b/>
          <w:bCs/>
          <w:color w:val="auto"/>
          <w:highlight w:val="none"/>
        </w:rPr>
      </w:pPr>
      <w:bookmarkStart w:id="14" w:name="_Toc217446035"/>
      <w:bookmarkStart w:id="15" w:name="_Toc183582206"/>
      <w:bookmarkStart w:id="16" w:name="_Toc183682343"/>
      <w:r>
        <w:rPr>
          <w:rFonts w:hint="eastAsia" w:ascii="仿宋_GB2312" w:hAnsi="仿宋_GB2312" w:eastAsia="仿宋_GB2312" w:cs="仿宋_GB2312"/>
          <w:b/>
          <w:bCs/>
          <w:color w:val="auto"/>
          <w:highlight w:val="none"/>
        </w:rPr>
        <w:t>2.</w:t>
      </w:r>
      <w:bookmarkEnd w:id="14"/>
      <w:bookmarkEnd w:id="15"/>
      <w:bookmarkEnd w:id="16"/>
      <w:r>
        <w:rPr>
          <w:rFonts w:hint="eastAsia" w:ascii="仿宋_GB2312" w:hAnsi="仿宋_GB2312" w:eastAsia="仿宋_GB2312" w:cs="仿宋_GB2312"/>
          <w:b/>
          <w:bCs/>
          <w:color w:val="auto"/>
          <w:highlight w:val="none"/>
        </w:rPr>
        <w:t>采购主体</w:t>
      </w:r>
    </w:p>
    <w:p>
      <w:pPr>
        <w:tabs>
          <w:tab w:val="left" w:pos="7665"/>
        </w:tabs>
        <w:spacing w:line="578" w:lineRule="exact"/>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2.1本次谈判的采购人是</w:t>
      </w:r>
      <w:r>
        <w:rPr>
          <w:rFonts w:hint="eastAsia" w:ascii="仿宋_GB2312" w:hAnsi="仿宋_GB2312" w:eastAsia="仿宋_GB2312" w:cs="仿宋_GB2312"/>
          <w:color w:val="auto"/>
          <w:kern w:val="0"/>
          <w:highlight w:val="none"/>
        </w:rPr>
        <w:t>达州市投资有限公司</w:t>
      </w:r>
      <w:r>
        <w:rPr>
          <w:rFonts w:hint="eastAsia" w:ascii="仿宋_GB2312" w:hAnsi="仿宋_GB2312" w:eastAsia="仿宋_GB2312" w:cs="仿宋_GB2312"/>
          <w:color w:val="auto"/>
          <w:highlight w:val="none"/>
        </w:rPr>
        <w:t>。</w:t>
      </w:r>
    </w:p>
    <w:p>
      <w:pPr>
        <w:spacing w:line="578" w:lineRule="exact"/>
        <w:ind w:firstLine="642" w:firstLineChars="200"/>
        <w:rPr>
          <w:rFonts w:ascii="仿宋_GB2312" w:hAnsi="仿宋_GB2312" w:eastAsia="仿宋_GB2312" w:cs="仿宋_GB2312"/>
          <w:b/>
          <w:bCs/>
          <w:color w:val="auto"/>
          <w:highlight w:val="none"/>
        </w:rPr>
      </w:pPr>
      <w:bookmarkStart w:id="17" w:name="_Toc183682344"/>
      <w:bookmarkStart w:id="18" w:name="_Toc183582207"/>
      <w:bookmarkStart w:id="19" w:name="_Toc217390843"/>
      <w:bookmarkStart w:id="20" w:name="_Toc217446036"/>
      <w:bookmarkStart w:id="21" w:name="_Toc183682345"/>
      <w:bookmarkStart w:id="22" w:name="_Toc217446037"/>
      <w:bookmarkStart w:id="23" w:name="_Toc183582208"/>
      <w:r>
        <w:rPr>
          <w:rFonts w:hint="eastAsia" w:ascii="仿宋_GB2312" w:hAnsi="仿宋_GB2312" w:eastAsia="仿宋_GB2312" w:cs="仿宋_GB2312"/>
          <w:b/>
          <w:bCs/>
          <w:color w:val="auto"/>
          <w:highlight w:val="none"/>
        </w:rPr>
        <w:t>3.合格</w:t>
      </w:r>
      <w:bookmarkEnd w:id="17"/>
      <w:bookmarkEnd w:id="18"/>
      <w:bookmarkEnd w:id="19"/>
      <w:bookmarkEnd w:id="20"/>
      <w:r>
        <w:rPr>
          <w:rFonts w:hint="eastAsia" w:ascii="仿宋_GB2312" w:hAnsi="仿宋_GB2312" w:eastAsia="仿宋_GB2312" w:cs="仿宋_GB2312"/>
          <w:b/>
          <w:bCs/>
          <w:color w:val="auto"/>
          <w:highlight w:val="none"/>
        </w:rPr>
        <w:t>供应商（实质性要求）</w:t>
      </w:r>
    </w:p>
    <w:p>
      <w:pPr>
        <w:pStyle w:val="13"/>
        <w:spacing w:before="156" w:line="578" w:lineRule="exact"/>
        <w:ind w:left="1" w:firstLine="640" w:firstLineChars="200"/>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合格供应商应具备以下条件：</w:t>
      </w:r>
    </w:p>
    <w:p>
      <w:pPr>
        <w:pStyle w:val="13"/>
        <w:spacing w:line="578" w:lineRule="exact"/>
        <w:ind w:firstLine="640" w:firstLineChars="200"/>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3.1具备法律法规和本采购文件规定的资格条件；</w:t>
      </w:r>
    </w:p>
    <w:p>
      <w:pPr>
        <w:pStyle w:val="13"/>
        <w:spacing w:line="578" w:lineRule="exact"/>
        <w:ind w:firstLine="640" w:firstLineChars="200"/>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3.2不属于禁止参加本项目采购活动的供应商；</w:t>
      </w:r>
    </w:p>
    <w:p>
      <w:pPr>
        <w:pStyle w:val="13"/>
        <w:spacing w:line="578" w:lineRule="exact"/>
        <w:ind w:left="1" w:firstLine="640" w:firstLineChars="200"/>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3.3按规定获取了谈判文件，属于实质性参加政府采购活动的供应商。</w:t>
      </w:r>
    </w:p>
    <w:bookmarkEnd w:id="21"/>
    <w:bookmarkEnd w:id="22"/>
    <w:bookmarkEnd w:id="23"/>
    <w:p>
      <w:pPr>
        <w:spacing w:line="578" w:lineRule="exact"/>
        <w:ind w:left="1" w:firstLine="642" w:firstLineChars="200"/>
        <w:rPr>
          <w:rFonts w:ascii="仿宋_GB2312" w:hAnsi="仿宋_GB2312" w:eastAsia="仿宋_GB2312" w:cs="仿宋_GB2312"/>
          <w:b/>
          <w:color w:val="auto"/>
          <w:highlight w:val="none"/>
        </w:rPr>
      </w:pPr>
      <w:r>
        <w:rPr>
          <w:rFonts w:hint="eastAsia" w:ascii="仿宋_GB2312" w:hAnsi="仿宋_GB2312" w:eastAsia="仿宋_GB2312" w:cs="仿宋_GB2312"/>
          <w:b/>
          <w:color w:val="auto"/>
          <w:highlight w:val="none"/>
        </w:rPr>
        <w:t>4.充分、公平竞争保障措施（实质性要求）</w:t>
      </w:r>
    </w:p>
    <w:p>
      <w:pPr>
        <w:spacing w:line="578" w:lineRule="exact"/>
        <w:ind w:left="1"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4.1利害关系供应商处理。单位负责人为同一人或者存在直接控股、管理关系的不同供应商不得参加同一合同项下的采购活动。采购项目实行资格预审的，单位负责人为同一人或者存在直接控股、管理关系的不同供应商可以参加资格预审，但只能由供应商确定其中一家符合条件的供应商参加后续的采购活动，否则，其响应文件作为无效处理。</w:t>
      </w:r>
    </w:p>
    <w:p>
      <w:pPr>
        <w:spacing w:line="578" w:lineRule="exact"/>
        <w:ind w:left="1"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4.2利害关系授权代表处理。两家以上的供应商不得在同一合同项下的采购项目中，委托同一个自然人、同一家庭的人员、同一单位的人员作为其授权代表，否则，其响应文件作为无效处理。</w:t>
      </w:r>
    </w:p>
    <w:p>
      <w:pPr>
        <w:spacing w:line="578" w:lineRule="exact"/>
        <w:ind w:left="1"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4.3前期参与供应商处理。为采购项目提供整体设计、规范编制或者项目管理、监理、检测等服务的供应商，不得再参加该采购项目的其他采购活动。供应商为采购人、采购人在确定采购需求、编制采购文件过程中提供咨询论证，其提供的咨询论证意见成为采购文件中规定的供应商资格条件、技术服务商务要求、评标因素和标准、采购合同等实质性内容条款的，视同为采购项目提供规范编制。</w:t>
      </w:r>
    </w:p>
    <w:p>
      <w:pPr>
        <w:spacing w:line="578" w:lineRule="exact"/>
        <w:ind w:left="1"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4.4供应商实际控制人或者中高级管理人员，同时是采购人工作人员，不得参与本项目采购活动。</w:t>
      </w:r>
    </w:p>
    <w:p>
      <w:pPr>
        <w:spacing w:line="578" w:lineRule="exact"/>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4.5同一母公司的两家以上的子公司只能组成联合体参加本项目同一合同项下的采购活动，不得以不同供应商身份同时参加本项目同一合同项下的采购活动。</w:t>
      </w:r>
    </w:p>
    <w:p>
      <w:pPr>
        <w:spacing w:line="578" w:lineRule="exact"/>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4.6供应商与采购人存在关联关系，或者是采购人的母公司或子公司，不得参加本项目采购活动。</w:t>
      </w:r>
    </w:p>
    <w:p>
      <w:pPr>
        <w:spacing w:line="578" w:lineRule="exact"/>
        <w:ind w:left="1"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4.7回避。采购活动中，采购人员及相关人员与供应商有下列利害关系之一的，应当回避：</w:t>
      </w:r>
    </w:p>
    <w:p>
      <w:pPr>
        <w:spacing w:line="578" w:lineRule="exact"/>
        <w:ind w:left="1"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（1）参加采购活动前3年内与供应商存在劳动关系；</w:t>
      </w:r>
    </w:p>
    <w:p>
      <w:pPr>
        <w:spacing w:line="578" w:lineRule="exact"/>
        <w:ind w:left="1"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（2）参加采购活动前3年内担任供应商的董事、监事；</w:t>
      </w:r>
    </w:p>
    <w:p>
      <w:pPr>
        <w:spacing w:line="578" w:lineRule="exact"/>
        <w:ind w:left="1"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（3）参加采购活动前3年内是供应商的控股股东或者实际控制人；</w:t>
      </w:r>
    </w:p>
    <w:p>
      <w:pPr>
        <w:spacing w:line="578" w:lineRule="exact"/>
        <w:ind w:left="1"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（4）与供应商的法定代表人或者负责人有夫妻、直系血亲、三代以内旁系血亲或者近姻亲关系；</w:t>
      </w:r>
    </w:p>
    <w:p>
      <w:pPr>
        <w:spacing w:line="578" w:lineRule="exact"/>
        <w:ind w:left="1"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（5）与供应商有其他可能影响采购活动公平、公正进行的关系。</w:t>
      </w:r>
    </w:p>
    <w:p>
      <w:pPr>
        <w:spacing w:line="578" w:lineRule="exact"/>
        <w:ind w:left="1"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本项目采购活动中需要依法回避的采购人员是指采购人内部负责采购项目的具体经办工作人员和直接分管采购项目的负责人，以及采购人负责采购项目的具体经办工作人员和直接分管采购活动的负责人。本项目采购活动中需要依法回避的相关人员是指谈判小组成员。</w:t>
      </w:r>
    </w:p>
    <w:p>
      <w:pPr>
        <w:spacing w:line="578" w:lineRule="exact"/>
        <w:ind w:left="1"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供应商认为采购人员及相关人员与其他供应商有利害关系的，可以向采购人书面提出回避申请，并说明理由。采购人将及时询问被申请回避人员，有利害关系的被申请回避人员应当回避。</w:t>
      </w:r>
    </w:p>
    <w:p>
      <w:pPr>
        <w:spacing w:line="578" w:lineRule="exact"/>
        <w:ind w:left="1" w:firstLine="642" w:firstLineChars="200"/>
        <w:rPr>
          <w:rFonts w:ascii="仿宋_GB2312" w:hAnsi="仿宋_GB2312" w:eastAsia="仿宋_GB2312" w:cs="仿宋_GB2312"/>
          <w:b/>
          <w:color w:val="auto"/>
          <w:highlight w:val="none"/>
        </w:rPr>
      </w:pPr>
      <w:r>
        <w:rPr>
          <w:rFonts w:hint="eastAsia" w:ascii="仿宋_GB2312" w:hAnsi="仿宋_GB2312" w:eastAsia="仿宋_GB2312" w:cs="仿宋_GB2312"/>
          <w:b/>
          <w:color w:val="auto"/>
          <w:highlight w:val="none"/>
        </w:rPr>
        <w:t>5.联合体竞争性谈判（实质性要求）</w:t>
      </w:r>
    </w:p>
    <w:p>
      <w:pPr>
        <w:spacing w:line="578" w:lineRule="exact"/>
        <w:ind w:left="1"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本项目不接受联合体参与采购活动。</w:t>
      </w:r>
    </w:p>
    <w:p>
      <w:pPr>
        <w:spacing w:line="578" w:lineRule="exact"/>
        <w:ind w:left="1" w:firstLine="642" w:firstLineChars="200"/>
        <w:rPr>
          <w:rFonts w:ascii="仿宋_GB2312" w:hAnsi="仿宋_GB2312" w:eastAsia="仿宋_GB2312" w:cs="仿宋_GB2312"/>
          <w:b/>
          <w:color w:val="auto"/>
          <w:highlight w:val="none"/>
        </w:rPr>
      </w:pPr>
      <w:r>
        <w:rPr>
          <w:rFonts w:hint="eastAsia" w:ascii="仿宋_GB2312" w:hAnsi="仿宋_GB2312" w:eastAsia="仿宋_GB2312" w:cs="仿宋_GB2312"/>
          <w:b/>
          <w:color w:val="auto"/>
          <w:highlight w:val="none"/>
        </w:rPr>
        <w:t>6.谈判保证金（实质性要求）</w:t>
      </w:r>
    </w:p>
    <w:p>
      <w:pPr>
        <w:spacing w:line="578" w:lineRule="exact"/>
        <w:ind w:firstLine="627" w:firstLineChars="196"/>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本项目不收取谈判保证金。</w:t>
      </w:r>
    </w:p>
    <w:p>
      <w:pPr>
        <w:spacing w:line="578" w:lineRule="exact"/>
        <w:ind w:firstLine="629" w:firstLineChars="196"/>
        <w:rPr>
          <w:rFonts w:ascii="仿宋_GB2312" w:hAnsi="仿宋_GB2312" w:eastAsia="仿宋_GB2312" w:cs="仿宋_GB2312"/>
          <w:b/>
          <w:color w:val="auto"/>
          <w:highlight w:val="none"/>
        </w:rPr>
      </w:pPr>
      <w:r>
        <w:rPr>
          <w:rFonts w:hint="eastAsia" w:ascii="仿宋_GB2312" w:hAnsi="仿宋_GB2312" w:eastAsia="仿宋_GB2312" w:cs="仿宋_GB2312"/>
          <w:b/>
          <w:color w:val="auto"/>
          <w:highlight w:val="none"/>
        </w:rPr>
        <w:t>7.响应文件有效期（实质性要求）</w:t>
      </w:r>
    </w:p>
    <w:p>
      <w:pPr>
        <w:spacing w:line="578" w:lineRule="exact"/>
        <w:ind w:firstLine="627" w:firstLineChars="196"/>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本项目响应文件有效期为递交谈判响应文件截止之日起90天。供应商响应文件中必须载明响应文件有效期，响应文件中载明的响应文件有效期可以长于谈判文件规定的期限，但不得短于谈判文件规定的期限。否则，其响应文件将作为无效处理。</w:t>
      </w:r>
    </w:p>
    <w:p>
      <w:pPr>
        <w:spacing w:line="578" w:lineRule="exact"/>
        <w:ind w:firstLine="642" w:firstLineChars="200"/>
        <w:rPr>
          <w:rFonts w:ascii="仿宋_GB2312" w:hAnsi="仿宋_GB2312" w:eastAsia="仿宋_GB2312" w:cs="仿宋_GB2312"/>
          <w:b/>
          <w:bCs/>
          <w:color w:val="auto"/>
          <w:highlight w:val="none"/>
        </w:rPr>
      </w:pPr>
      <w:r>
        <w:rPr>
          <w:rFonts w:hint="eastAsia" w:ascii="仿宋_GB2312" w:hAnsi="仿宋_GB2312" w:eastAsia="仿宋_GB2312" w:cs="仿宋_GB2312"/>
          <w:b/>
          <w:color w:val="auto"/>
          <w:highlight w:val="none"/>
        </w:rPr>
        <w:t>8.</w:t>
      </w:r>
      <w:r>
        <w:rPr>
          <w:rFonts w:hint="eastAsia" w:ascii="仿宋_GB2312" w:hAnsi="仿宋_GB2312" w:eastAsia="仿宋_GB2312" w:cs="仿宋_GB2312"/>
          <w:b/>
          <w:bCs/>
          <w:color w:val="auto"/>
          <w:highlight w:val="none"/>
        </w:rPr>
        <w:t>知识产权（实质性要求）</w:t>
      </w:r>
    </w:p>
    <w:p>
      <w:pPr>
        <w:spacing w:line="578" w:lineRule="exact"/>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8.1 供应商应保证在本项目中使用的任何产品和服务（包括部分使用），不会产生因第三方提出侵犯其专利权、商标权或其它知识产权而引起的法律和经济纠纷，如因专利权、商标权或其它知识产权而引起法律和经济纠纷，由供应商承担所有相关责任。</w:t>
      </w:r>
    </w:p>
    <w:p>
      <w:pPr>
        <w:spacing w:line="578" w:lineRule="exact"/>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8.2 除非谈判文件特别规定，采购人享有本项目实施过程中产生的知识成果及知识产权。</w:t>
      </w:r>
    </w:p>
    <w:p>
      <w:pPr>
        <w:spacing w:line="578" w:lineRule="exact"/>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8.3供应商将在采购项目实施过程中采用自有或者第三方知识成果的，应当在响应文件中载明，并提供相关知识产权证明文件。使用该知识成果后，供应商需提供开发接口和开发手册等技术资料，并承诺提供无限期支持，采购人享有使用权（含采购人委托第三方在该项目后续开发的使用权）。</w:t>
      </w:r>
    </w:p>
    <w:p>
      <w:pPr>
        <w:spacing w:line="578" w:lineRule="exact"/>
        <w:ind w:firstLine="614" w:firstLineChars="192"/>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 xml:space="preserve">8.4 如采用供应商所不拥有的知识产权，则在报价中必须包括合法获取该知识产权的相关费用。 </w:t>
      </w:r>
    </w:p>
    <w:p>
      <w:pPr>
        <w:spacing w:line="578" w:lineRule="exact"/>
        <w:ind w:firstLine="614" w:firstLineChars="192"/>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8.5供应商参与谈判时须对以上内容进行承诺，提供承诺函原件，否则作为无效处理。</w:t>
      </w:r>
    </w:p>
    <w:p>
      <w:pPr>
        <w:pStyle w:val="2"/>
        <w:keepNext w:val="0"/>
        <w:keepLines w:val="0"/>
        <w:spacing w:before="0" w:after="0" w:line="578" w:lineRule="exact"/>
        <w:jc w:val="center"/>
        <w:rPr>
          <w:rFonts w:ascii="仿宋_GB2312" w:hAnsi="仿宋_GB2312" w:eastAsia="仿宋_GB2312" w:cs="仿宋_GB2312"/>
          <w:color w:val="auto"/>
          <w:highlight w:val="none"/>
        </w:rPr>
      </w:pPr>
      <w:bookmarkStart w:id="24" w:name="_Toc183582209"/>
      <w:bookmarkStart w:id="25" w:name="_Toc183682346"/>
      <w:bookmarkStart w:id="26" w:name="_Toc217446038"/>
      <w:bookmarkStart w:id="27" w:name="_Toc89075875"/>
      <w:bookmarkStart w:id="28" w:name="_Toc77400779"/>
      <w:r>
        <w:rPr>
          <w:rFonts w:hint="eastAsia" w:ascii="黑体" w:hAnsi="黑体" w:cs="黑体"/>
          <w:b w:val="0"/>
          <w:color w:val="auto"/>
          <w:highlight w:val="none"/>
        </w:rPr>
        <w:t>三、谈判文件</w:t>
      </w:r>
      <w:bookmarkEnd w:id="24"/>
      <w:bookmarkEnd w:id="25"/>
      <w:bookmarkEnd w:id="26"/>
      <w:bookmarkEnd w:id="27"/>
      <w:bookmarkEnd w:id="28"/>
      <w:bookmarkStart w:id="29" w:name="_Toc183582210"/>
      <w:bookmarkStart w:id="30" w:name="_Toc217446039"/>
      <w:bookmarkStart w:id="31" w:name="_Toc183682347"/>
    </w:p>
    <w:p>
      <w:pPr>
        <w:spacing w:line="578" w:lineRule="exact"/>
        <w:ind w:firstLine="642" w:firstLineChars="200"/>
        <w:rPr>
          <w:rFonts w:ascii="仿宋_GB2312" w:hAnsi="仿宋_GB2312" w:eastAsia="仿宋_GB2312" w:cs="仿宋_GB2312"/>
          <w:b/>
          <w:bCs/>
          <w:color w:val="auto"/>
          <w:highlight w:val="none"/>
        </w:rPr>
      </w:pPr>
      <w:r>
        <w:rPr>
          <w:rFonts w:hint="eastAsia" w:ascii="仿宋_GB2312" w:hAnsi="仿宋_GB2312" w:eastAsia="仿宋_GB2312" w:cs="仿宋_GB2312"/>
          <w:b/>
          <w:bCs/>
          <w:color w:val="auto"/>
          <w:highlight w:val="none"/>
        </w:rPr>
        <w:t>9．谈判文件的构成</w:t>
      </w:r>
      <w:bookmarkEnd w:id="29"/>
      <w:bookmarkEnd w:id="30"/>
      <w:bookmarkEnd w:id="31"/>
      <w:r>
        <w:rPr>
          <w:rFonts w:hint="eastAsia" w:ascii="仿宋_GB2312" w:hAnsi="仿宋_GB2312" w:eastAsia="仿宋_GB2312" w:cs="仿宋_GB2312"/>
          <w:b/>
          <w:bCs/>
          <w:color w:val="auto"/>
          <w:highlight w:val="none"/>
        </w:rPr>
        <w:t>（实质性要求）</w:t>
      </w:r>
    </w:p>
    <w:p>
      <w:pPr>
        <w:tabs>
          <w:tab w:val="left" w:pos="720"/>
        </w:tabs>
        <w:spacing w:line="578" w:lineRule="exact"/>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9</w:t>
      </w:r>
      <w:r>
        <w:rPr>
          <w:rFonts w:hint="eastAsia" w:ascii="仿宋_GB2312" w:hAnsi="仿宋_GB2312" w:eastAsia="仿宋_GB2312" w:cs="仿宋_GB2312"/>
          <w:b/>
          <w:bCs/>
          <w:color w:val="auto"/>
          <w:highlight w:val="none"/>
        </w:rPr>
        <w:t>.</w:t>
      </w:r>
      <w:r>
        <w:rPr>
          <w:rFonts w:hint="eastAsia" w:ascii="仿宋_GB2312" w:hAnsi="仿宋_GB2312" w:eastAsia="仿宋_GB2312" w:cs="仿宋_GB2312"/>
          <w:color w:val="auto"/>
          <w:highlight w:val="none"/>
        </w:rPr>
        <w:t>1 谈判文件是供应商准备响应文件和参加谈判的依据，同时也是谈判的重要依据。谈判文件用以阐明谈判项目所需的资质、技术、服务及报价等要求、谈判程序、有关规定和注意事项以及合同主要条款等。</w:t>
      </w:r>
    </w:p>
    <w:p>
      <w:pPr>
        <w:tabs>
          <w:tab w:val="left" w:pos="7665"/>
        </w:tabs>
        <w:spacing w:line="578" w:lineRule="exact"/>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9</w:t>
      </w:r>
      <w:r>
        <w:rPr>
          <w:rFonts w:hint="eastAsia" w:ascii="仿宋_GB2312" w:hAnsi="仿宋_GB2312" w:eastAsia="仿宋_GB2312" w:cs="仿宋_GB2312"/>
          <w:b/>
          <w:bCs/>
          <w:color w:val="auto"/>
          <w:highlight w:val="none"/>
        </w:rPr>
        <w:t>.</w:t>
      </w:r>
      <w:r>
        <w:rPr>
          <w:rFonts w:hint="eastAsia" w:ascii="仿宋_GB2312" w:hAnsi="仿宋_GB2312" w:eastAsia="仿宋_GB2312" w:cs="仿宋_GB2312"/>
          <w:color w:val="auto"/>
          <w:highlight w:val="none"/>
        </w:rPr>
        <w:t>2 供应商应认真阅读和充分理解谈判文件中所有的事项、格式条款和规范要求。供应商应详细阅读谈判文件的全部内容，按照谈判文件的要求提供响应文件，并保证所提供的全部资料的真实性和有效性，一经发现有虚假行为的，将取消其参加谈判或成交资格，并承担相应的法律责任。</w:t>
      </w:r>
    </w:p>
    <w:p>
      <w:pPr>
        <w:spacing w:line="578" w:lineRule="exact"/>
        <w:ind w:firstLine="642" w:firstLineChars="200"/>
        <w:rPr>
          <w:rFonts w:ascii="仿宋_GB2312" w:hAnsi="仿宋_GB2312" w:eastAsia="仿宋_GB2312" w:cs="仿宋_GB2312"/>
          <w:b/>
          <w:bCs/>
          <w:color w:val="auto"/>
          <w:highlight w:val="none"/>
        </w:rPr>
      </w:pPr>
      <w:bookmarkStart w:id="32" w:name="_Toc183682348"/>
      <w:bookmarkStart w:id="33" w:name="_Toc183582211"/>
      <w:bookmarkStart w:id="34" w:name="_Toc217446040"/>
      <w:r>
        <w:rPr>
          <w:rFonts w:hint="eastAsia" w:ascii="仿宋_GB2312" w:hAnsi="仿宋_GB2312" w:eastAsia="仿宋_GB2312" w:cs="仿宋_GB2312"/>
          <w:b/>
          <w:bCs/>
          <w:color w:val="auto"/>
          <w:highlight w:val="none"/>
        </w:rPr>
        <w:t>10. 谈判文件的澄清</w:t>
      </w:r>
      <w:bookmarkEnd w:id="32"/>
      <w:bookmarkEnd w:id="33"/>
      <w:r>
        <w:rPr>
          <w:rFonts w:hint="eastAsia" w:ascii="仿宋_GB2312" w:hAnsi="仿宋_GB2312" w:eastAsia="仿宋_GB2312" w:cs="仿宋_GB2312"/>
          <w:b/>
          <w:bCs/>
          <w:color w:val="auto"/>
          <w:highlight w:val="none"/>
        </w:rPr>
        <w:t>和修改</w:t>
      </w:r>
      <w:bookmarkEnd w:id="34"/>
    </w:p>
    <w:p>
      <w:pPr>
        <w:tabs>
          <w:tab w:val="left" w:pos="720"/>
        </w:tabs>
        <w:spacing w:line="578" w:lineRule="exact"/>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10.1 在递交响应文件截止时间前，采购人、采购人可以对谈判文件进行澄清或者修改。</w:t>
      </w:r>
    </w:p>
    <w:p>
      <w:pPr>
        <w:tabs>
          <w:tab w:val="left" w:pos="720"/>
        </w:tabs>
        <w:spacing w:line="578" w:lineRule="exact"/>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10.2 采购人对已发出的谈判文件进行澄清或者修改，应当以书面形式将澄清或者修改的内容通知所有购买了谈判文件的供应商，同时在</w:t>
      </w:r>
      <w:r>
        <w:rPr>
          <w:rFonts w:hint="eastAsia" w:ascii="仿宋_GB2312" w:hAnsi="仿宋_GB2312" w:eastAsia="仿宋_GB2312" w:cs="仿宋_GB2312"/>
          <w:bCs/>
          <w:color w:val="auto"/>
          <w:highlight w:val="none"/>
        </w:rPr>
        <w:t>达州市投资有限公司官网</w:t>
      </w:r>
      <w:r>
        <w:rPr>
          <w:rFonts w:hint="eastAsia" w:ascii="仿宋_GB2312" w:hAnsi="仿宋_GB2312" w:eastAsia="仿宋_GB2312" w:cs="仿宋_GB2312"/>
          <w:color w:val="auto"/>
          <w:highlight w:val="none"/>
        </w:rPr>
        <w:t>上发布更正公告。该澄清或者修改的内容为谈判文件的组成部分，澄清或者修改的内容可能影响响应文件编制的，采购人或者采购人发布公告并书面通知供应商的时间，应当在提交首次响应文件截止之日起3个工作日前；不足上述时间的，应当顺延递交响应文件的截止时间。</w:t>
      </w:r>
    </w:p>
    <w:p>
      <w:pPr>
        <w:tabs>
          <w:tab w:val="left" w:pos="720"/>
        </w:tabs>
        <w:spacing w:line="578" w:lineRule="exact"/>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10.3供应商认为采购人或采购人需要对谈判文件进行澄清或者修改的，可以在投标截止2个工作日前以书面形式向采购人或采购人提出申请，由采购人或采购人决定是否采纳供应商的申请事项。</w:t>
      </w:r>
    </w:p>
    <w:p>
      <w:pPr>
        <w:spacing w:line="578" w:lineRule="exact"/>
        <w:ind w:firstLine="642" w:firstLineChars="200"/>
        <w:rPr>
          <w:rFonts w:ascii="仿宋_GB2312" w:hAnsi="仿宋_GB2312" w:eastAsia="仿宋_GB2312" w:cs="仿宋_GB2312"/>
          <w:b/>
          <w:bCs/>
          <w:color w:val="auto"/>
          <w:highlight w:val="none"/>
        </w:rPr>
      </w:pPr>
      <w:bookmarkStart w:id="35" w:name="_Toc208848971"/>
      <w:bookmarkStart w:id="36" w:name="_Toc217446041"/>
      <w:r>
        <w:rPr>
          <w:rFonts w:hint="eastAsia" w:ascii="仿宋_GB2312" w:hAnsi="仿宋_GB2312" w:eastAsia="仿宋_GB2312" w:cs="仿宋_GB2312"/>
          <w:b/>
          <w:bCs/>
          <w:color w:val="auto"/>
          <w:highlight w:val="none"/>
        </w:rPr>
        <w:t>11. 答疑会和现场考察</w:t>
      </w:r>
      <w:bookmarkEnd w:id="35"/>
      <w:bookmarkEnd w:id="36"/>
    </w:p>
    <w:p>
      <w:pPr>
        <w:spacing w:line="578" w:lineRule="exact"/>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11.1 根据采购项目和具体情况，采购人、采购人认为有必要，可以在谈判文件提供期限截止后响应文件提交截止前，组织已获取谈判文件的潜在供应商现场考察或者召开答疑会。</w:t>
      </w:r>
    </w:p>
    <w:p>
      <w:pPr>
        <w:spacing w:line="578" w:lineRule="exact"/>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11.2采购人、采购人组织现场考察或者召开答疑会的，将以书面形式通知所有获取谈判文件的潜在供应商。供应商接到通知后，不按照要求参加现场考察或者答疑会的，视同放弃参加现场考察或者答疑的权利，采购人、采购人不再对该供应商重新组织，但也不会以此限制供应商提交响应文件或者以此将供应商响应文件直接作为无效处理。</w:t>
      </w:r>
    </w:p>
    <w:p>
      <w:pPr>
        <w:spacing w:line="578" w:lineRule="exact"/>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11.3 供应商考察现场或者参加答疑会所发生的一切费用由供应商自己承担。</w:t>
      </w:r>
    </w:p>
    <w:p>
      <w:pPr>
        <w:pStyle w:val="2"/>
        <w:keepNext w:val="0"/>
        <w:keepLines w:val="0"/>
        <w:spacing w:before="0" w:after="0" w:line="578" w:lineRule="exact"/>
        <w:jc w:val="center"/>
        <w:rPr>
          <w:rFonts w:ascii="黑体" w:hAnsi="黑体" w:cs="黑体"/>
          <w:b w:val="0"/>
          <w:color w:val="auto"/>
          <w:highlight w:val="none"/>
        </w:rPr>
      </w:pPr>
      <w:bookmarkStart w:id="37" w:name="_Toc89075876"/>
      <w:bookmarkStart w:id="38" w:name="_Toc183582214"/>
      <w:bookmarkStart w:id="39" w:name="_Toc183682351"/>
      <w:bookmarkStart w:id="40" w:name="_Toc77400780"/>
      <w:bookmarkStart w:id="41" w:name="_Toc217446042"/>
      <w:r>
        <w:rPr>
          <w:rFonts w:hint="eastAsia" w:ascii="黑体" w:hAnsi="黑体" w:cs="黑体"/>
          <w:b w:val="0"/>
          <w:color w:val="auto"/>
          <w:highlight w:val="none"/>
        </w:rPr>
        <w:t>四、响应文件</w:t>
      </w:r>
      <w:bookmarkEnd w:id="37"/>
      <w:bookmarkEnd w:id="38"/>
      <w:bookmarkEnd w:id="39"/>
      <w:bookmarkEnd w:id="40"/>
      <w:bookmarkEnd w:id="41"/>
    </w:p>
    <w:p>
      <w:pPr>
        <w:spacing w:line="578" w:lineRule="exact"/>
        <w:ind w:firstLine="642" w:firstLineChars="200"/>
        <w:rPr>
          <w:rFonts w:ascii="仿宋_GB2312" w:hAnsi="仿宋_GB2312" w:eastAsia="仿宋_GB2312" w:cs="仿宋_GB2312"/>
          <w:b/>
          <w:bCs/>
          <w:color w:val="auto"/>
          <w:highlight w:val="none"/>
        </w:rPr>
      </w:pPr>
      <w:bookmarkStart w:id="42" w:name="_Toc183582215"/>
      <w:bookmarkStart w:id="43" w:name="_Toc183682352"/>
      <w:bookmarkStart w:id="44" w:name="_Toc217446043"/>
      <w:r>
        <w:rPr>
          <w:rFonts w:hint="eastAsia" w:ascii="仿宋_GB2312" w:hAnsi="仿宋_GB2312" w:eastAsia="仿宋_GB2312" w:cs="仿宋_GB2312"/>
          <w:b/>
          <w:bCs/>
          <w:color w:val="auto"/>
          <w:highlight w:val="none"/>
        </w:rPr>
        <w:t>12.响应文件的组成（实质性要求）</w:t>
      </w:r>
    </w:p>
    <w:p>
      <w:pPr>
        <w:spacing w:line="578" w:lineRule="exact"/>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供应商应按照谈判文件的规定和要求编制响应文件。供应商在成交后将成交项目的非主体、非关键性工作分包他人完成的，应当在响应文件中载明或谈判过程中澄清。供应商编写的响应文件应包括资格性响应文件和其他响应文件两部分，分册装订。</w:t>
      </w:r>
    </w:p>
    <w:p>
      <w:pPr>
        <w:adjustRightInd w:val="0"/>
        <w:spacing w:line="578" w:lineRule="exact"/>
        <w:ind w:firstLine="658" w:firstLineChars="200"/>
        <w:rPr>
          <w:rFonts w:ascii="仿宋_GB2312" w:hAnsi="仿宋_GB2312" w:eastAsia="仿宋_GB2312" w:cs="仿宋_GB2312"/>
          <w:b/>
          <w:color w:val="auto"/>
          <w:spacing w:val="4"/>
          <w:highlight w:val="none"/>
        </w:rPr>
      </w:pPr>
      <w:r>
        <w:rPr>
          <w:rFonts w:hint="eastAsia" w:ascii="仿宋_GB2312" w:hAnsi="仿宋_GB2312" w:eastAsia="仿宋_GB2312" w:cs="仿宋_GB2312"/>
          <w:b/>
          <w:color w:val="auto"/>
          <w:spacing w:val="4"/>
          <w:highlight w:val="none"/>
        </w:rPr>
        <w:t>（一）资格性响应文件：</w:t>
      </w:r>
    </w:p>
    <w:p>
      <w:pPr>
        <w:adjustRightInd w:val="0"/>
        <w:spacing w:line="578" w:lineRule="exact"/>
        <w:ind w:firstLine="656" w:firstLineChars="200"/>
        <w:rPr>
          <w:rFonts w:ascii="仿宋_GB2312" w:hAnsi="仿宋_GB2312" w:eastAsia="仿宋_GB2312" w:cs="仿宋_GB2312"/>
          <w:color w:val="auto"/>
          <w:spacing w:val="4"/>
          <w:highlight w:val="none"/>
        </w:rPr>
      </w:pPr>
      <w:r>
        <w:rPr>
          <w:rFonts w:hint="eastAsia" w:ascii="仿宋_GB2312" w:hAnsi="仿宋_GB2312" w:eastAsia="仿宋_GB2312" w:cs="仿宋_GB2312"/>
          <w:color w:val="auto"/>
          <w:spacing w:val="4"/>
          <w:highlight w:val="none"/>
        </w:rPr>
        <w:t>严格按照本谈判文件第三章要求提供相关材料。</w:t>
      </w:r>
    </w:p>
    <w:p>
      <w:pPr>
        <w:adjustRightInd w:val="0"/>
        <w:spacing w:line="578" w:lineRule="exact"/>
        <w:ind w:firstLine="674" w:firstLineChars="200"/>
        <w:rPr>
          <w:rFonts w:ascii="仿宋_GB2312" w:hAnsi="仿宋_GB2312" w:eastAsia="仿宋_GB2312" w:cs="仿宋_GB2312"/>
          <w:b/>
          <w:color w:val="auto"/>
          <w:spacing w:val="8"/>
          <w:highlight w:val="none"/>
        </w:rPr>
      </w:pPr>
      <w:r>
        <w:rPr>
          <w:rFonts w:hint="eastAsia" w:ascii="仿宋_GB2312" w:hAnsi="仿宋_GB2312" w:eastAsia="仿宋_GB2312" w:cs="仿宋_GB2312"/>
          <w:b/>
          <w:color w:val="auto"/>
          <w:spacing w:val="8"/>
          <w:highlight w:val="none"/>
        </w:rPr>
        <w:t>（二）其他响应文件：</w:t>
      </w:r>
    </w:p>
    <w:p>
      <w:pPr>
        <w:spacing w:line="578" w:lineRule="exact"/>
        <w:ind w:firstLine="642" w:firstLineChars="200"/>
        <w:rPr>
          <w:rFonts w:ascii="仿宋_GB2312" w:hAnsi="仿宋_GB2312" w:eastAsia="仿宋_GB2312" w:cs="仿宋_GB2312"/>
          <w:color w:val="auto"/>
          <w:highlight w:val="none"/>
        </w:rPr>
      </w:pPr>
      <w:r>
        <w:rPr>
          <w:rFonts w:hint="eastAsia" w:ascii="仿宋_GB2312" w:hAnsi="仿宋_GB2312" w:eastAsia="仿宋_GB2312" w:cs="仿宋_GB2312"/>
          <w:b/>
          <w:color w:val="auto"/>
          <w:highlight w:val="none"/>
        </w:rPr>
        <w:t>1、报价部分。</w:t>
      </w:r>
      <w:r>
        <w:rPr>
          <w:rFonts w:hint="eastAsia" w:ascii="仿宋_GB2312" w:hAnsi="仿宋_GB2312" w:eastAsia="仿宋_GB2312" w:cs="仿宋_GB2312"/>
          <w:bCs/>
          <w:color w:val="auto"/>
          <w:highlight w:val="none"/>
        </w:rPr>
        <w:t>投标人</w:t>
      </w:r>
      <w:r>
        <w:rPr>
          <w:rFonts w:hint="eastAsia" w:ascii="仿宋_GB2312" w:hAnsi="仿宋_GB2312" w:eastAsia="仿宋_GB2312" w:cs="仿宋_GB2312"/>
          <w:color w:val="auto"/>
          <w:highlight w:val="none"/>
        </w:rPr>
        <w:t>按照</w:t>
      </w:r>
      <w:r>
        <w:rPr>
          <w:rFonts w:hint="eastAsia" w:ascii="仿宋_GB2312" w:hAnsi="仿宋_GB2312" w:eastAsia="仿宋_GB2312" w:cs="仿宋_GB2312"/>
          <w:color w:val="auto"/>
          <w:spacing w:val="4"/>
          <w:highlight w:val="none"/>
        </w:rPr>
        <w:t>谈判</w:t>
      </w:r>
      <w:r>
        <w:rPr>
          <w:rFonts w:hint="eastAsia" w:ascii="仿宋_GB2312" w:hAnsi="仿宋_GB2312" w:eastAsia="仿宋_GB2312" w:cs="仿宋_GB2312"/>
          <w:color w:val="auto"/>
          <w:highlight w:val="none"/>
        </w:rPr>
        <w:t xml:space="preserve">文件要求填写“报价表”。 </w:t>
      </w:r>
    </w:p>
    <w:p>
      <w:pPr>
        <w:spacing w:line="578" w:lineRule="exact"/>
        <w:ind w:firstLine="642" w:firstLineChars="200"/>
        <w:rPr>
          <w:rFonts w:ascii="仿宋_GB2312" w:hAnsi="仿宋_GB2312" w:eastAsia="仿宋_GB2312" w:cs="仿宋_GB2312"/>
          <w:color w:val="auto"/>
          <w:highlight w:val="none"/>
        </w:rPr>
      </w:pPr>
      <w:r>
        <w:rPr>
          <w:rFonts w:hint="eastAsia" w:ascii="仿宋_GB2312" w:hAnsi="仿宋_GB2312" w:eastAsia="仿宋_GB2312" w:cs="仿宋_GB2312"/>
          <w:b/>
          <w:color w:val="auto"/>
          <w:highlight w:val="none"/>
        </w:rPr>
        <w:t>2、技术部分</w:t>
      </w:r>
      <w:r>
        <w:rPr>
          <w:rFonts w:hint="eastAsia" w:ascii="仿宋_GB2312" w:hAnsi="仿宋_GB2312" w:eastAsia="仿宋_GB2312" w:cs="仿宋_GB2312"/>
          <w:color w:val="auto"/>
          <w:highlight w:val="none"/>
        </w:rPr>
        <w:t>（根据具体项目情况确定）。投标人按照</w:t>
      </w:r>
      <w:r>
        <w:rPr>
          <w:rFonts w:hint="eastAsia" w:ascii="仿宋_GB2312" w:hAnsi="仿宋_GB2312" w:eastAsia="仿宋_GB2312" w:cs="仿宋_GB2312"/>
          <w:color w:val="auto"/>
          <w:spacing w:val="4"/>
          <w:highlight w:val="none"/>
        </w:rPr>
        <w:t>谈判</w:t>
      </w:r>
      <w:r>
        <w:rPr>
          <w:rFonts w:hint="eastAsia" w:ascii="仿宋_GB2312" w:hAnsi="仿宋_GB2312" w:eastAsia="仿宋_GB2312" w:cs="仿宋_GB2312"/>
          <w:color w:val="auto"/>
          <w:highlight w:val="none"/>
        </w:rPr>
        <w:t>文件要求做出的应答。供应商的技术应答包括下列内容：</w:t>
      </w:r>
    </w:p>
    <w:p>
      <w:pPr>
        <w:spacing w:line="578" w:lineRule="exact"/>
        <w:ind w:firstLine="640" w:firstLineChars="200"/>
        <w:rPr>
          <w:rFonts w:ascii="仿宋_GB2312" w:hAnsi="仿宋_GB2312" w:eastAsia="仿宋_GB2312" w:cs="仿宋_GB2312"/>
          <w:bCs/>
          <w:color w:val="auto"/>
          <w:highlight w:val="none"/>
        </w:rPr>
      </w:pPr>
      <w:r>
        <w:rPr>
          <w:rFonts w:hint="eastAsia" w:ascii="仿宋_GB2312" w:hAnsi="仿宋_GB2312" w:eastAsia="仿宋_GB2312" w:cs="仿宋_GB2312"/>
          <w:color w:val="auto"/>
          <w:highlight w:val="none"/>
        </w:rPr>
        <w:t>（1）</w:t>
      </w:r>
      <w:r>
        <w:rPr>
          <w:rFonts w:hint="eastAsia" w:ascii="仿宋_GB2312" w:hAnsi="仿宋_GB2312" w:eastAsia="仿宋_GB2312" w:cs="仿宋_GB2312"/>
          <w:bCs/>
          <w:color w:val="auto"/>
          <w:highlight w:val="none"/>
        </w:rPr>
        <w:t>技术、服务要求应答表</w:t>
      </w:r>
    </w:p>
    <w:p>
      <w:pPr>
        <w:spacing w:line="578" w:lineRule="exact"/>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（2）供应商认为需要提供的文件和资料。</w:t>
      </w:r>
    </w:p>
    <w:p>
      <w:pPr>
        <w:spacing w:line="578" w:lineRule="exact"/>
        <w:ind w:firstLine="642" w:firstLineChars="200"/>
        <w:rPr>
          <w:rFonts w:ascii="仿宋_GB2312" w:hAnsi="仿宋_GB2312" w:eastAsia="仿宋_GB2312" w:cs="仿宋_GB2312"/>
          <w:bCs/>
          <w:color w:val="auto"/>
          <w:highlight w:val="none"/>
        </w:rPr>
      </w:pPr>
      <w:r>
        <w:rPr>
          <w:rFonts w:hint="eastAsia" w:ascii="仿宋_GB2312" w:hAnsi="仿宋_GB2312" w:eastAsia="仿宋_GB2312" w:cs="仿宋_GB2312"/>
          <w:b/>
          <w:bCs/>
          <w:color w:val="auto"/>
          <w:highlight w:val="none"/>
        </w:rPr>
        <w:t>3、商务部分</w:t>
      </w:r>
      <w:r>
        <w:rPr>
          <w:rFonts w:hint="eastAsia" w:ascii="仿宋_GB2312" w:hAnsi="仿宋_GB2312" w:eastAsia="仿宋_GB2312" w:cs="仿宋_GB2312"/>
          <w:color w:val="auto"/>
          <w:highlight w:val="none"/>
        </w:rPr>
        <w:t>（根据具体项目情况确定）。</w:t>
      </w:r>
      <w:r>
        <w:rPr>
          <w:rFonts w:hint="eastAsia" w:ascii="仿宋_GB2312" w:hAnsi="仿宋_GB2312" w:eastAsia="仿宋_GB2312" w:cs="仿宋_GB2312"/>
          <w:bCs/>
          <w:color w:val="auto"/>
          <w:highlight w:val="none"/>
        </w:rPr>
        <w:t>供应商按照</w:t>
      </w:r>
      <w:r>
        <w:rPr>
          <w:rFonts w:hint="eastAsia" w:ascii="仿宋_GB2312" w:hAnsi="仿宋_GB2312" w:eastAsia="仿宋_GB2312" w:cs="仿宋_GB2312"/>
          <w:bCs/>
          <w:color w:val="auto"/>
          <w:spacing w:val="4"/>
          <w:highlight w:val="none"/>
        </w:rPr>
        <w:t>谈判</w:t>
      </w:r>
      <w:r>
        <w:rPr>
          <w:rFonts w:hint="eastAsia" w:ascii="仿宋_GB2312" w:hAnsi="仿宋_GB2312" w:eastAsia="仿宋_GB2312" w:cs="仿宋_GB2312"/>
          <w:bCs/>
          <w:color w:val="auto"/>
          <w:highlight w:val="none"/>
        </w:rPr>
        <w:t>文件要求提供的有关文件及优惠承诺。包括以下内容：</w:t>
      </w:r>
    </w:p>
    <w:p>
      <w:pPr>
        <w:spacing w:line="578" w:lineRule="exact"/>
        <w:ind w:firstLine="640" w:firstLineChars="200"/>
        <w:rPr>
          <w:rFonts w:ascii="仿宋_GB2312" w:hAnsi="仿宋_GB2312" w:eastAsia="仿宋_GB2312" w:cs="仿宋_GB2312"/>
          <w:bCs/>
          <w:color w:val="auto"/>
          <w:highlight w:val="none"/>
        </w:rPr>
      </w:pPr>
      <w:r>
        <w:rPr>
          <w:rFonts w:hint="eastAsia" w:ascii="仿宋_GB2312" w:hAnsi="仿宋_GB2312" w:eastAsia="仿宋_GB2312" w:cs="仿宋_GB2312"/>
          <w:bCs/>
          <w:color w:val="auto"/>
          <w:highlight w:val="none"/>
        </w:rPr>
        <w:t>（1）供应商承诺给予招标采购单位的各种优惠条件（优惠条件事项不能包括采购项目本身所包括涉及的采购事项。供应商不能以“赠送、赠予”等任何名义提供货物和服务以规避</w:t>
      </w:r>
      <w:r>
        <w:rPr>
          <w:rFonts w:hint="eastAsia" w:ascii="仿宋_GB2312" w:hAnsi="仿宋_GB2312" w:eastAsia="仿宋_GB2312" w:cs="仿宋_GB2312"/>
          <w:bCs/>
          <w:color w:val="auto"/>
          <w:spacing w:val="4"/>
          <w:highlight w:val="none"/>
        </w:rPr>
        <w:t>谈判</w:t>
      </w:r>
      <w:r>
        <w:rPr>
          <w:rFonts w:hint="eastAsia" w:ascii="仿宋_GB2312" w:hAnsi="仿宋_GB2312" w:eastAsia="仿宋_GB2312" w:cs="仿宋_GB2312"/>
          <w:bCs/>
          <w:color w:val="auto"/>
          <w:highlight w:val="none"/>
        </w:rPr>
        <w:t>文件的约束。否则，供应商提供的投标文件将作为无效投标处理，即使中标也将取消中标资格）（实质性要求）；</w:t>
      </w:r>
    </w:p>
    <w:p>
      <w:pPr>
        <w:spacing w:line="578" w:lineRule="exact"/>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（2）商务应答表；</w:t>
      </w:r>
    </w:p>
    <w:p>
      <w:pPr>
        <w:spacing w:line="578" w:lineRule="exact"/>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（3）其他供应商认为需要提供的文件和资料。</w:t>
      </w:r>
    </w:p>
    <w:p>
      <w:pPr>
        <w:adjustRightInd w:val="0"/>
        <w:snapToGrid w:val="0"/>
        <w:spacing w:line="578" w:lineRule="exact"/>
        <w:ind w:firstLine="642" w:firstLineChars="200"/>
        <w:rPr>
          <w:rFonts w:ascii="仿宋_GB2312" w:hAnsi="仿宋_GB2312" w:eastAsia="仿宋_GB2312" w:cs="仿宋_GB2312"/>
          <w:b/>
          <w:bCs/>
          <w:color w:val="auto"/>
          <w:highlight w:val="none"/>
        </w:rPr>
      </w:pPr>
      <w:r>
        <w:rPr>
          <w:rFonts w:hint="eastAsia" w:ascii="仿宋_GB2312" w:hAnsi="仿宋_GB2312" w:eastAsia="仿宋_GB2312" w:cs="仿宋_GB2312"/>
          <w:b/>
          <w:bCs/>
          <w:color w:val="auto"/>
          <w:highlight w:val="none"/>
        </w:rPr>
        <w:t>4、其他部分</w:t>
      </w:r>
    </w:p>
    <w:p>
      <w:pPr>
        <w:adjustRightInd w:val="0"/>
        <w:snapToGrid w:val="0"/>
        <w:spacing w:line="578" w:lineRule="exact"/>
        <w:ind w:firstLine="640" w:firstLineChars="200"/>
        <w:rPr>
          <w:rFonts w:ascii="仿宋_GB2312" w:hAnsi="仿宋_GB2312" w:eastAsia="仿宋_GB2312" w:cs="仿宋_GB2312"/>
          <w:bCs/>
          <w:color w:val="auto"/>
          <w:highlight w:val="none"/>
        </w:rPr>
      </w:pPr>
      <w:r>
        <w:rPr>
          <w:rFonts w:hint="eastAsia" w:ascii="仿宋_GB2312" w:hAnsi="仿宋_GB2312" w:eastAsia="仿宋_GB2312" w:cs="仿宋_GB2312"/>
          <w:color w:val="auto"/>
          <w:highlight w:val="none"/>
        </w:rPr>
        <w:t>（1）</w:t>
      </w:r>
      <w:r>
        <w:rPr>
          <w:rFonts w:hint="eastAsia" w:ascii="仿宋_GB2312" w:hAnsi="仿宋_GB2312" w:eastAsia="仿宋_GB2312" w:cs="仿宋_GB2312"/>
          <w:bCs/>
          <w:color w:val="auto"/>
          <w:highlight w:val="none"/>
        </w:rPr>
        <w:t>报价函</w:t>
      </w:r>
    </w:p>
    <w:p>
      <w:pPr>
        <w:adjustRightInd w:val="0"/>
        <w:snapToGrid w:val="0"/>
        <w:spacing w:line="578" w:lineRule="exact"/>
        <w:ind w:firstLine="640" w:firstLineChars="200"/>
        <w:rPr>
          <w:rFonts w:ascii="仿宋_GB2312" w:hAnsi="仿宋_GB2312" w:eastAsia="仿宋_GB2312" w:cs="仿宋_GB2312"/>
          <w:bCs/>
          <w:color w:val="auto"/>
          <w:highlight w:val="none"/>
        </w:rPr>
      </w:pPr>
      <w:r>
        <w:rPr>
          <w:rFonts w:hint="eastAsia" w:ascii="仿宋_GB2312" w:hAnsi="仿宋_GB2312" w:eastAsia="仿宋_GB2312" w:cs="仿宋_GB2312"/>
          <w:color w:val="auto"/>
          <w:highlight w:val="none"/>
        </w:rPr>
        <w:t>（2）</w:t>
      </w:r>
      <w:r>
        <w:rPr>
          <w:rFonts w:hint="eastAsia" w:ascii="仿宋_GB2312" w:hAnsi="仿宋_GB2312" w:eastAsia="仿宋_GB2312" w:cs="仿宋_GB2312"/>
          <w:bCs/>
          <w:color w:val="auto"/>
          <w:highlight w:val="none"/>
        </w:rPr>
        <w:t>供应商基本情况表</w:t>
      </w:r>
    </w:p>
    <w:p>
      <w:pPr>
        <w:adjustRightInd w:val="0"/>
        <w:snapToGrid w:val="0"/>
        <w:spacing w:line="578" w:lineRule="exact"/>
        <w:ind w:firstLine="640" w:firstLineChars="200"/>
        <w:rPr>
          <w:rFonts w:ascii="仿宋_GB2312" w:hAnsi="仿宋_GB2312" w:eastAsia="仿宋_GB2312" w:cs="仿宋_GB2312"/>
          <w:bCs/>
          <w:color w:val="auto"/>
          <w:highlight w:val="none"/>
        </w:rPr>
      </w:pPr>
      <w:r>
        <w:rPr>
          <w:rFonts w:hint="eastAsia" w:ascii="仿宋_GB2312" w:hAnsi="仿宋_GB2312" w:eastAsia="仿宋_GB2312" w:cs="仿宋_GB2312"/>
          <w:color w:val="auto"/>
          <w:highlight w:val="none"/>
        </w:rPr>
        <w:t>（3）</w:t>
      </w:r>
      <w:r>
        <w:rPr>
          <w:rFonts w:hint="eastAsia" w:ascii="仿宋_GB2312" w:hAnsi="仿宋_GB2312" w:eastAsia="仿宋_GB2312" w:cs="仿宋_GB2312"/>
          <w:bCs/>
          <w:color w:val="auto"/>
          <w:highlight w:val="none"/>
        </w:rPr>
        <w:t>供应商类似项目业绩一览表</w:t>
      </w:r>
    </w:p>
    <w:p>
      <w:pPr>
        <w:adjustRightInd w:val="0"/>
        <w:snapToGrid w:val="0"/>
        <w:spacing w:line="578" w:lineRule="exact"/>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bCs/>
          <w:color w:val="auto"/>
          <w:highlight w:val="none"/>
        </w:rPr>
        <w:t>（4）</w:t>
      </w:r>
      <w:r>
        <w:rPr>
          <w:rFonts w:hint="eastAsia" w:ascii="仿宋_GB2312" w:hAnsi="仿宋_GB2312" w:eastAsia="仿宋_GB2312" w:cs="仿宋_GB2312"/>
          <w:color w:val="auto"/>
          <w:highlight w:val="none"/>
        </w:rPr>
        <w:t>供应商本项目管理、技术、服务人员情况表</w:t>
      </w:r>
    </w:p>
    <w:p>
      <w:pPr>
        <w:spacing w:line="578" w:lineRule="exact"/>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bCs/>
          <w:color w:val="auto"/>
          <w:highlight w:val="none"/>
        </w:rPr>
        <w:t>（</w:t>
      </w:r>
      <w:r>
        <w:rPr>
          <w:rFonts w:hint="eastAsia" w:ascii="仿宋_GB2312" w:hAnsi="仿宋_GB2312" w:eastAsia="仿宋_GB2312" w:cs="仿宋_GB2312"/>
          <w:color w:val="auto"/>
          <w:highlight w:val="none"/>
        </w:rPr>
        <w:t>供应商</w:t>
      </w:r>
      <w:r>
        <w:rPr>
          <w:rFonts w:hint="eastAsia" w:ascii="仿宋_GB2312" w:hAnsi="仿宋_GB2312" w:eastAsia="仿宋_GB2312" w:cs="仿宋_GB2312"/>
          <w:bCs/>
          <w:color w:val="auto"/>
          <w:highlight w:val="none"/>
        </w:rPr>
        <w:t>按照</w:t>
      </w:r>
      <w:r>
        <w:rPr>
          <w:rFonts w:hint="eastAsia" w:ascii="仿宋_GB2312" w:hAnsi="仿宋_GB2312" w:eastAsia="仿宋_GB2312" w:cs="仿宋_GB2312"/>
          <w:color w:val="auto"/>
          <w:spacing w:val="4"/>
          <w:highlight w:val="none"/>
        </w:rPr>
        <w:t>谈判</w:t>
      </w:r>
      <w:r>
        <w:rPr>
          <w:rFonts w:hint="eastAsia" w:ascii="仿宋_GB2312" w:hAnsi="仿宋_GB2312" w:eastAsia="仿宋_GB2312" w:cs="仿宋_GB2312"/>
          <w:bCs/>
          <w:color w:val="auto"/>
          <w:highlight w:val="none"/>
        </w:rPr>
        <w:t>文件要求作出的其他应答和承诺）</w:t>
      </w:r>
    </w:p>
    <w:p>
      <w:pPr>
        <w:spacing w:line="578" w:lineRule="exact"/>
        <w:ind w:firstLine="642" w:firstLineChars="200"/>
        <w:rPr>
          <w:rFonts w:ascii="仿宋_GB2312" w:hAnsi="仿宋_GB2312" w:eastAsia="仿宋_GB2312" w:cs="仿宋_GB2312"/>
          <w:b/>
          <w:color w:val="auto"/>
          <w:highlight w:val="none"/>
        </w:rPr>
      </w:pPr>
      <w:r>
        <w:rPr>
          <w:rFonts w:hint="eastAsia" w:ascii="仿宋_GB2312" w:hAnsi="仿宋_GB2312" w:eastAsia="仿宋_GB2312" w:cs="仿宋_GB2312"/>
          <w:b/>
          <w:color w:val="auto"/>
          <w:highlight w:val="none"/>
        </w:rPr>
        <w:t>13.响应文件的语言</w:t>
      </w:r>
      <w:bookmarkEnd w:id="42"/>
      <w:bookmarkEnd w:id="43"/>
      <w:bookmarkEnd w:id="44"/>
      <w:r>
        <w:rPr>
          <w:rFonts w:hint="eastAsia" w:ascii="仿宋_GB2312" w:hAnsi="仿宋_GB2312" w:eastAsia="仿宋_GB2312" w:cs="仿宋_GB2312"/>
          <w:b/>
          <w:color w:val="auto"/>
          <w:highlight w:val="none"/>
        </w:rPr>
        <w:t>（实质性要求）</w:t>
      </w:r>
    </w:p>
    <w:p>
      <w:pPr>
        <w:spacing w:line="578" w:lineRule="exact"/>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13.1 供应商提交的响应文件以及供应商与采购人、采购人就有关报价的所有来往书面文件均须使用中文。响应文件中如附有外文资料，必须逐一对应翻译成中文并加盖供应商公章后附在相关外文资料后面，否则，供应商的响应文件将作为无效处理。</w:t>
      </w:r>
    </w:p>
    <w:p>
      <w:pPr>
        <w:spacing w:line="578" w:lineRule="exact"/>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13.2 翻译的中文资料与外文资料如果出现差异和矛盾，以中文为准。但不能故意错误翻译，否则，供应商的响应文件将作为无效处理。</w:t>
      </w:r>
    </w:p>
    <w:p>
      <w:pPr>
        <w:spacing w:line="578" w:lineRule="exact"/>
        <w:ind w:firstLine="642" w:firstLineChars="200"/>
        <w:rPr>
          <w:rFonts w:ascii="仿宋_GB2312" w:hAnsi="仿宋_GB2312" w:eastAsia="仿宋_GB2312" w:cs="仿宋_GB2312"/>
          <w:b/>
          <w:bCs/>
          <w:color w:val="auto"/>
          <w:highlight w:val="none"/>
        </w:rPr>
      </w:pPr>
      <w:bookmarkStart w:id="45" w:name="_Toc183582216"/>
      <w:bookmarkStart w:id="46" w:name="_Toc217446044"/>
      <w:bookmarkStart w:id="47" w:name="_Toc183682353"/>
      <w:r>
        <w:rPr>
          <w:rFonts w:hint="eastAsia" w:ascii="仿宋_GB2312" w:hAnsi="仿宋_GB2312" w:eastAsia="仿宋_GB2312" w:cs="仿宋_GB2312"/>
          <w:b/>
          <w:bCs/>
          <w:color w:val="auto"/>
          <w:highlight w:val="none"/>
        </w:rPr>
        <w:t>14．计量单位</w:t>
      </w:r>
      <w:bookmarkEnd w:id="45"/>
      <w:bookmarkEnd w:id="46"/>
      <w:bookmarkEnd w:id="47"/>
      <w:r>
        <w:rPr>
          <w:rFonts w:hint="eastAsia" w:ascii="仿宋_GB2312" w:hAnsi="仿宋_GB2312" w:eastAsia="仿宋_GB2312" w:cs="仿宋_GB2312"/>
          <w:b/>
          <w:bCs/>
          <w:color w:val="auto"/>
          <w:highlight w:val="none"/>
        </w:rPr>
        <w:t>（实质性要求）</w:t>
      </w:r>
    </w:p>
    <w:p>
      <w:pPr>
        <w:spacing w:line="578" w:lineRule="exact"/>
        <w:ind w:firstLine="627" w:firstLineChars="196"/>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除谈判文件中另有规定外，本次采购项目所有合同项下的报价均采用国家法定的计量单位。</w:t>
      </w:r>
    </w:p>
    <w:p>
      <w:pPr>
        <w:spacing w:line="578" w:lineRule="exact"/>
        <w:ind w:firstLine="626" w:firstLineChars="195"/>
        <w:rPr>
          <w:rFonts w:ascii="仿宋_GB2312" w:hAnsi="仿宋_GB2312" w:eastAsia="仿宋_GB2312" w:cs="仿宋_GB2312"/>
          <w:b/>
          <w:bCs/>
          <w:color w:val="auto"/>
          <w:highlight w:val="none"/>
        </w:rPr>
      </w:pPr>
      <w:bookmarkStart w:id="48" w:name="_Toc217446045"/>
      <w:r>
        <w:rPr>
          <w:rFonts w:hint="eastAsia" w:ascii="仿宋_GB2312" w:hAnsi="仿宋_GB2312" w:eastAsia="仿宋_GB2312" w:cs="仿宋_GB2312"/>
          <w:b/>
          <w:bCs/>
          <w:color w:val="auto"/>
          <w:highlight w:val="none"/>
        </w:rPr>
        <w:t xml:space="preserve">15. </w:t>
      </w:r>
      <w:r>
        <w:rPr>
          <w:rFonts w:hint="eastAsia" w:ascii="仿宋_GB2312" w:hAnsi="仿宋_GB2312" w:eastAsia="仿宋_GB2312" w:cs="仿宋_GB2312"/>
          <w:b/>
          <w:color w:val="auto"/>
          <w:highlight w:val="none"/>
        </w:rPr>
        <w:t>报价</w:t>
      </w:r>
      <w:r>
        <w:rPr>
          <w:rFonts w:hint="eastAsia" w:ascii="仿宋_GB2312" w:hAnsi="仿宋_GB2312" w:eastAsia="仿宋_GB2312" w:cs="仿宋_GB2312"/>
          <w:b/>
          <w:bCs/>
          <w:color w:val="auto"/>
          <w:highlight w:val="none"/>
        </w:rPr>
        <w:t>货币（实质性要求）</w:t>
      </w:r>
    </w:p>
    <w:p>
      <w:pPr>
        <w:spacing w:line="578" w:lineRule="exact"/>
        <w:ind w:firstLine="624" w:firstLineChars="195"/>
        <w:rPr>
          <w:rFonts w:ascii="仿宋_GB2312" w:hAnsi="仿宋_GB2312" w:eastAsia="仿宋_GB2312" w:cs="仿宋_GB2312"/>
          <w:bCs/>
          <w:color w:val="auto"/>
          <w:highlight w:val="none"/>
        </w:rPr>
      </w:pPr>
      <w:r>
        <w:rPr>
          <w:rFonts w:hint="eastAsia" w:ascii="仿宋_GB2312" w:hAnsi="仿宋_GB2312" w:eastAsia="仿宋_GB2312" w:cs="仿宋_GB2312"/>
          <w:bCs/>
          <w:color w:val="auto"/>
          <w:highlight w:val="none"/>
        </w:rPr>
        <w:t>若本次谈判项目</w:t>
      </w:r>
      <w:r>
        <w:rPr>
          <w:rFonts w:hint="eastAsia" w:ascii="仿宋_GB2312" w:hAnsi="仿宋_GB2312" w:eastAsia="仿宋_GB2312" w:cs="仿宋_GB2312"/>
          <w:color w:val="auto"/>
          <w:highlight w:val="none"/>
        </w:rPr>
        <w:t>报价为货币是指</w:t>
      </w:r>
      <w:r>
        <w:rPr>
          <w:rFonts w:hint="eastAsia" w:ascii="仿宋_GB2312" w:hAnsi="仿宋_GB2312" w:eastAsia="仿宋_GB2312" w:cs="仿宋_GB2312"/>
          <w:bCs/>
          <w:color w:val="auto"/>
          <w:highlight w:val="none"/>
        </w:rPr>
        <w:t>人民币，具体报价以谈判文件规定为准。</w:t>
      </w:r>
    </w:p>
    <w:bookmarkEnd w:id="48"/>
    <w:p>
      <w:pPr>
        <w:spacing w:line="578" w:lineRule="exact"/>
        <w:ind w:left="3" w:leftChars="1" w:firstLine="642" w:firstLineChars="200"/>
        <w:rPr>
          <w:rFonts w:ascii="仿宋_GB2312" w:hAnsi="仿宋_GB2312" w:eastAsia="仿宋_GB2312" w:cs="仿宋_GB2312"/>
          <w:b/>
          <w:bCs/>
          <w:color w:val="auto"/>
          <w:highlight w:val="none"/>
        </w:rPr>
      </w:pPr>
      <w:r>
        <w:rPr>
          <w:rFonts w:hint="eastAsia" w:ascii="仿宋_GB2312" w:hAnsi="仿宋_GB2312" w:eastAsia="仿宋_GB2312" w:cs="仿宋_GB2312"/>
          <w:b/>
          <w:bCs/>
          <w:color w:val="auto"/>
          <w:highlight w:val="none"/>
        </w:rPr>
        <w:t>16.响应文件格式</w:t>
      </w:r>
    </w:p>
    <w:p>
      <w:pPr>
        <w:spacing w:line="578" w:lineRule="exact"/>
        <w:ind w:left="3" w:leftChars="1" w:firstLine="640" w:firstLineChars="200"/>
        <w:rPr>
          <w:rFonts w:ascii="仿宋_GB2312" w:hAnsi="仿宋_GB2312" w:eastAsia="仿宋_GB2312" w:cs="仿宋_GB2312"/>
          <w:bCs/>
          <w:color w:val="auto"/>
          <w:highlight w:val="none"/>
        </w:rPr>
      </w:pPr>
      <w:r>
        <w:rPr>
          <w:rFonts w:hint="eastAsia" w:ascii="仿宋_GB2312" w:hAnsi="仿宋_GB2312" w:eastAsia="仿宋_GB2312" w:cs="仿宋_GB2312"/>
          <w:bCs/>
          <w:color w:val="auto"/>
          <w:highlight w:val="none"/>
        </w:rPr>
        <w:t>16.1 供应商应执行谈判文件第六章的规定要求。</w:t>
      </w:r>
    </w:p>
    <w:p>
      <w:pPr>
        <w:spacing w:line="578" w:lineRule="exact"/>
        <w:ind w:left="3" w:leftChars="1"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16.2 对于没有格式要求的谈判文件由供应商自行编写。</w:t>
      </w:r>
    </w:p>
    <w:p>
      <w:pPr>
        <w:spacing w:line="578" w:lineRule="exact"/>
        <w:ind w:firstLine="629" w:firstLineChars="196"/>
        <w:rPr>
          <w:rFonts w:ascii="仿宋_GB2312" w:hAnsi="仿宋_GB2312" w:eastAsia="仿宋_GB2312" w:cs="仿宋_GB2312"/>
          <w:b/>
          <w:color w:val="auto"/>
          <w:highlight w:val="none"/>
        </w:rPr>
      </w:pPr>
      <w:bookmarkStart w:id="49" w:name="_Toc217446051"/>
      <w:bookmarkStart w:id="50" w:name="_Toc183682361"/>
      <w:bookmarkStart w:id="51" w:name="_Toc183582224"/>
      <w:r>
        <w:rPr>
          <w:rFonts w:hint="eastAsia" w:ascii="仿宋_GB2312" w:hAnsi="仿宋_GB2312" w:eastAsia="仿宋_GB2312" w:cs="仿宋_GB2312"/>
          <w:b/>
          <w:color w:val="auto"/>
          <w:highlight w:val="none"/>
        </w:rPr>
        <w:t>17.响应文件的编制和签署</w:t>
      </w:r>
    </w:p>
    <w:p>
      <w:pPr>
        <w:spacing w:line="578" w:lineRule="exact"/>
        <w:ind w:firstLine="624" w:firstLineChars="195"/>
        <w:rPr>
          <w:rFonts w:ascii="仿宋_GB2312" w:hAnsi="仿宋_GB2312" w:eastAsia="仿宋_GB2312" w:cs="仿宋_GB2312"/>
          <w:bCs/>
          <w:color w:val="auto"/>
          <w:highlight w:val="none"/>
        </w:rPr>
      </w:pPr>
      <w:r>
        <w:rPr>
          <w:rFonts w:hint="eastAsia" w:ascii="仿宋_GB2312" w:hAnsi="仿宋_GB2312" w:eastAsia="仿宋_GB2312" w:cs="仿宋_GB2312"/>
          <w:color w:val="auto"/>
          <w:highlight w:val="none"/>
        </w:rPr>
        <w:t>17.1 资格性响应文件1份，</w:t>
      </w:r>
      <w:r>
        <w:rPr>
          <w:rFonts w:hint="eastAsia" w:ascii="仿宋_GB2312" w:hAnsi="仿宋_GB2312" w:eastAsia="仿宋_GB2312" w:cs="仿宋_GB2312"/>
          <w:bCs/>
          <w:color w:val="auto"/>
          <w:highlight w:val="none"/>
        </w:rPr>
        <w:t>并在其封面上清楚地标明资格性响应文件、采购项目名称、供应商名称。</w:t>
      </w:r>
    </w:p>
    <w:p>
      <w:pPr>
        <w:spacing w:line="578" w:lineRule="exact"/>
        <w:ind w:firstLine="624" w:firstLineChars="195"/>
        <w:rPr>
          <w:rFonts w:ascii="仿宋_GB2312" w:hAnsi="仿宋_GB2312" w:eastAsia="仿宋_GB2312" w:cs="仿宋_GB2312"/>
          <w:bCs/>
          <w:color w:val="auto"/>
          <w:highlight w:val="none"/>
        </w:rPr>
      </w:pPr>
      <w:r>
        <w:rPr>
          <w:rFonts w:hint="eastAsia" w:ascii="仿宋_GB2312" w:hAnsi="仿宋_GB2312" w:eastAsia="仿宋_GB2312" w:cs="仿宋_GB2312"/>
          <w:color w:val="auto"/>
          <w:highlight w:val="none"/>
        </w:rPr>
        <w:t>17</w:t>
      </w:r>
      <w:r>
        <w:rPr>
          <w:rFonts w:hint="eastAsia" w:ascii="仿宋_GB2312" w:hAnsi="仿宋_GB2312" w:eastAsia="仿宋_GB2312" w:cs="仿宋_GB2312"/>
          <w:bCs/>
          <w:color w:val="auto"/>
          <w:highlight w:val="none"/>
        </w:rPr>
        <w:t>.2 其他响应文件1份，并在其封面上清楚地标明其他响应文件、采购项目名称、供应商名称。</w:t>
      </w:r>
    </w:p>
    <w:bookmarkEnd w:id="49"/>
    <w:bookmarkEnd w:id="50"/>
    <w:bookmarkEnd w:id="51"/>
    <w:p>
      <w:pPr>
        <w:spacing w:line="578" w:lineRule="exact"/>
        <w:ind w:firstLine="624" w:firstLineChars="195"/>
        <w:rPr>
          <w:rFonts w:ascii="仿宋_GB2312" w:hAnsi="仿宋_GB2312" w:eastAsia="仿宋_GB2312" w:cs="仿宋_GB2312"/>
          <w:bCs/>
          <w:color w:val="auto"/>
          <w:highlight w:val="none"/>
        </w:rPr>
      </w:pPr>
      <w:r>
        <w:rPr>
          <w:rFonts w:hint="eastAsia" w:ascii="仿宋_GB2312" w:hAnsi="仿宋_GB2312" w:eastAsia="仿宋_GB2312" w:cs="仿宋_GB2312"/>
          <w:color w:val="auto"/>
          <w:highlight w:val="none"/>
        </w:rPr>
        <w:t>17</w:t>
      </w:r>
      <w:r>
        <w:rPr>
          <w:rFonts w:hint="eastAsia" w:ascii="仿宋_GB2312" w:hAnsi="仿宋_GB2312" w:eastAsia="仿宋_GB2312" w:cs="仿宋_GB2312"/>
          <w:bCs/>
          <w:color w:val="auto"/>
          <w:highlight w:val="none"/>
        </w:rPr>
        <w:t>.3 响应文件需在规定签章处签字和盖章。</w:t>
      </w:r>
    </w:p>
    <w:p>
      <w:pPr>
        <w:spacing w:line="578" w:lineRule="exact"/>
        <w:ind w:firstLine="624" w:firstLineChars="195"/>
        <w:rPr>
          <w:rFonts w:ascii="仿宋_GB2312" w:hAnsi="仿宋_GB2312" w:eastAsia="仿宋_GB2312" w:cs="仿宋_GB2312"/>
          <w:bCs/>
          <w:color w:val="auto"/>
          <w:highlight w:val="none"/>
        </w:rPr>
      </w:pPr>
      <w:r>
        <w:rPr>
          <w:rFonts w:hint="eastAsia" w:ascii="仿宋_GB2312" w:hAnsi="仿宋_GB2312" w:eastAsia="仿宋_GB2312" w:cs="仿宋_GB2312"/>
          <w:color w:val="auto"/>
          <w:highlight w:val="none"/>
        </w:rPr>
        <w:t>17</w:t>
      </w:r>
      <w:r>
        <w:rPr>
          <w:rFonts w:hint="eastAsia" w:ascii="仿宋_GB2312" w:hAnsi="仿宋_GB2312" w:eastAsia="仿宋_GB2312" w:cs="仿宋_GB2312"/>
          <w:bCs/>
          <w:color w:val="auto"/>
          <w:highlight w:val="none"/>
        </w:rPr>
        <w:t>.4响应文件的打印和书写应清楚工整，任何行间插字、涂改或增删，必须由供应商的法定代表人或其授权代表签字并盖供应商公章。</w:t>
      </w:r>
    </w:p>
    <w:p>
      <w:pPr>
        <w:spacing w:line="578" w:lineRule="exact"/>
        <w:ind w:firstLine="624" w:firstLineChars="195"/>
        <w:rPr>
          <w:rFonts w:ascii="仿宋_GB2312" w:hAnsi="仿宋_GB2312" w:eastAsia="仿宋_GB2312" w:cs="仿宋_GB2312"/>
          <w:bCs/>
          <w:color w:val="auto"/>
          <w:highlight w:val="none"/>
        </w:rPr>
      </w:pPr>
      <w:r>
        <w:rPr>
          <w:rFonts w:hint="eastAsia" w:ascii="仿宋_GB2312" w:hAnsi="仿宋_GB2312" w:eastAsia="仿宋_GB2312" w:cs="仿宋_GB2312"/>
          <w:color w:val="auto"/>
          <w:highlight w:val="none"/>
        </w:rPr>
        <w:t>17</w:t>
      </w:r>
      <w:r>
        <w:rPr>
          <w:rFonts w:hint="eastAsia" w:ascii="仿宋_GB2312" w:hAnsi="仿宋_GB2312" w:eastAsia="仿宋_GB2312" w:cs="仿宋_GB2312"/>
          <w:bCs/>
          <w:color w:val="auto"/>
          <w:highlight w:val="none"/>
        </w:rPr>
        <w:t>.5（实质性要求）响应文件应由供应商法定代表人/主要负责人/本人或其授权代表在响应文件要求的地方签字（或加盖私人印章），要求加盖公章的地方加盖单位公章，不得使用专用章（如经济合同章、投标专用章等）或下属单位印章代替。</w:t>
      </w:r>
    </w:p>
    <w:p>
      <w:pPr>
        <w:tabs>
          <w:tab w:val="left" w:pos="1080"/>
        </w:tabs>
        <w:spacing w:line="578" w:lineRule="exact"/>
        <w:ind w:firstLine="614" w:firstLineChars="192"/>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17.6</w:t>
      </w:r>
      <w:r>
        <w:rPr>
          <w:rFonts w:hint="eastAsia" w:ascii="仿宋_GB2312" w:hAnsi="仿宋_GB2312" w:eastAsia="仿宋_GB2312" w:cs="仿宋_GB2312"/>
          <w:b/>
          <w:color w:val="auto"/>
          <w:highlight w:val="none"/>
        </w:rPr>
        <w:t>（实质性要求）</w:t>
      </w:r>
      <w:r>
        <w:rPr>
          <w:rFonts w:hint="eastAsia" w:ascii="仿宋_GB2312" w:hAnsi="仿宋_GB2312" w:eastAsia="仿宋_GB2312" w:cs="仿宋_GB2312"/>
          <w:color w:val="auto"/>
          <w:highlight w:val="none"/>
        </w:rPr>
        <w:t>响应文件应根据谈判文件的要求制作，签署、盖章。</w:t>
      </w:r>
    </w:p>
    <w:p>
      <w:pPr>
        <w:tabs>
          <w:tab w:val="left" w:pos="1080"/>
        </w:tabs>
        <w:spacing w:line="578" w:lineRule="exact"/>
        <w:ind w:firstLine="614" w:firstLineChars="192"/>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17.7响应文件统一用A4幅面纸印制，除另有规定外。</w:t>
      </w:r>
    </w:p>
    <w:p>
      <w:pPr>
        <w:tabs>
          <w:tab w:val="left" w:pos="1080"/>
        </w:tabs>
        <w:spacing w:line="578" w:lineRule="exact"/>
        <w:ind w:firstLine="616" w:firstLineChars="192"/>
        <w:rPr>
          <w:rFonts w:ascii="仿宋_GB2312" w:hAnsi="仿宋_GB2312" w:eastAsia="仿宋_GB2312" w:cs="仿宋_GB2312"/>
          <w:b/>
          <w:color w:val="auto"/>
          <w:highlight w:val="none"/>
        </w:rPr>
      </w:pPr>
      <w:bookmarkStart w:id="52" w:name="_Toc89075877"/>
      <w:bookmarkStart w:id="53" w:name="_Toc183682363"/>
      <w:bookmarkStart w:id="54" w:name="_Toc77400781"/>
      <w:bookmarkStart w:id="55" w:name="_Toc183582226"/>
      <w:bookmarkStart w:id="56" w:name="_Toc217446053"/>
      <w:r>
        <w:rPr>
          <w:rFonts w:hint="eastAsia" w:ascii="仿宋_GB2312" w:hAnsi="仿宋_GB2312" w:eastAsia="仿宋_GB2312" w:cs="仿宋_GB2312"/>
          <w:b/>
          <w:color w:val="auto"/>
          <w:highlight w:val="none"/>
        </w:rPr>
        <w:t>18.响应文件的密封和标注（不属于本项目谈判小组评审范畴，由采购人在接收响应文件时及时处理）</w:t>
      </w:r>
    </w:p>
    <w:p>
      <w:pPr>
        <w:tabs>
          <w:tab w:val="left" w:pos="1080"/>
        </w:tabs>
        <w:spacing w:line="578" w:lineRule="exact"/>
        <w:ind w:firstLine="614" w:firstLineChars="192"/>
        <w:rPr>
          <w:rFonts w:ascii="仿宋_GB2312" w:hAnsi="仿宋_GB2312" w:eastAsia="仿宋_GB2312" w:cs="仿宋_GB2312"/>
          <w:bCs/>
          <w:color w:val="auto"/>
          <w:highlight w:val="none"/>
        </w:rPr>
      </w:pPr>
      <w:r>
        <w:rPr>
          <w:rFonts w:hint="eastAsia" w:ascii="仿宋_GB2312" w:hAnsi="仿宋_GB2312" w:eastAsia="仿宋_GB2312" w:cs="仿宋_GB2312"/>
          <w:bCs/>
          <w:color w:val="auto"/>
          <w:highlight w:val="none"/>
        </w:rPr>
        <w:t>18.1 响应文件可以单独密封包装，也可以所有响应文件密封包装在一个密封袋内。</w:t>
      </w:r>
    </w:p>
    <w:p>
      <w:pPr>
        <w:tabs>
          <w:tab w:val="left" w:pos="1080"/>
        </w:tabs>
        <w:spacing w:line="578" w:lineRule="exact"/>
        <w:ind w:firstLine="614" w:firstLineChars="192"/>
        <w:rPr>
          <w:rFonts w:ascii="仿宋_GB2312" w:hAnsi="仿宋_GB2312" w:eastAsia="仿宋_GB2312" w:cs="仿宋_GB2312"/>
          <w:bCs/>
          <w:color w:val="auto"/>
          <w:highlight w:val="none"/>
        </w:rPr>
      </w:pPr>
      <w:r>
        <w:rPr>
          <w:rFonts w:hint="eastAsia" w:ascii="仿宋_GB2312" w:hAnsi="仿宋_GB2312" w:eastAsia="仿宋_GB2312" w:cs="仿宋_GB2312"/>
          <w:bCs/>
          <w:color w:val="auto"/>
          <w:highlight w:val="none"/>
        </w:rPr>
        <w:t>18.2 响应文件密封袋的最外层应清楚地标明采购项目名称、供应商名称。</w:t>
      </w:r>
    </w:p>
    <w:p>
      <w:pPr>
        <w:tabs>
          <w:tab w:val="left" w:pos="1080"/>
        </w:tabs>
        <w:spacing w:line="578" w:lineRule="exact"/>
        <w:ind w:firstLine="614" w:firstLineChars="192"/>
        <w:rPr>
          <w:rFonts w:ascii="仿宋_GB2312" w:hAnsi="仿宋_GB2312" w:eastAsia="仿宋_GB2312" w:cs="仿宋_GB2312"/>
          <w:bCs/>
          <w:color w:val="auto"/>
          <w:highlight w:val="none"/>
        </w:rPr>
      </w:pPr>
      <w:r>
        <w:rPr>
          <w:rFonts w:hint="eastAsia" w:ascii="仿宋_GB2312" w:hAnsi="仿宋_GB2312" w:eastAsia="仿宋_GB2312" w:cs="仿宋_GB2312"/>
          <w:bCs/>
          <w:color w:val="auto"/>
          <w:highlight w:val="none"/>
        </w:rPr>
        <w:t>18.3 所有外层密封袋的封口处应粘贴牢固。</w:t>
      </w:r>
    </w:p>
    <w:p>
      <w:pPr>
        <w:tabs>
          <w:tab w:val="left" w:pos="1080"/>
        </w:tabs>
        <w:spacing w:line="578" w:lineRule="exact"/>
        <w:ind w:firstLine="614" w:firstLineChars="192"/>
        <w:rPr>
          <w:rFonts w:ascii="仿宋_GB2312" w:hAnsi="仿宋_GB2312" w:eastAsia="仿宋_GB2312" w:cs="仿宋_GB2312"/>
          <w:bCs/>
          <w:color w:val="auto"/>
          <w:highlight w:val="none"/>
        </w:rPr>
      </w:pPr>
      <w:r>
        <w:rPr>
          <w:rFonts w:hint="eastAsia" w:ascii="仿宋_GB2312" w:hAnsi="仿宋_GB2312" w:eastAsia="仿宋_GB2312" w:cs="仿宋_GB2312"/>
          <w:bCs/>
          <w:color w:val="auto"/>
          <w:highlight w:val="none"/>
        </w:rPr>
        <w:t>18.4 未按以上要求进行密封和标注的响应文件，采购人将拒收或者在时间允许的范围内，要求修改完善后接收。</w:t>
      </w:r>
    </w:p>
    <w:p>
      <w:pPr>
        <w:tabs>
          <w:tab w:val="left" w:pos="1080"/>
        </w:tabs>
        <w:spacing w:line="578" w:lineRule="exact"/>
        <w:ind w:firstLine="616" w:firstLineChars="192"/>
        <w:rPr>
          <w:rFonts w:ascii="仿宋_GB2312" w:hAnsi="仿宋_GB2312" w:eastAsia="仿宋_GB2312" w:cs="仿宋_GB2312"/>
          <w:b/>
          <w:color w:val="auto"/>
          <w:highlight w:val="none"/>
        </w:rPr>
      </w:pPr>
      <w:r>
        <w:rPr>
          <w:rFonts w:hint="eastAsia" w:ascii="仿宋_GB2312" w:hAnsi="仿宋_GB2312" w:eastAsia="仿宋_GB2312" w:cs="仿宋_GB2312"/>
          <w:b/>
          <w:color w:val="auto"/>
          <w:highlight w:val="none"/>
        </w:rPr>
        <w:t>19.响应文件的递交</w:t>
      </w:r>
    </w:p>
    <w:p>
      <w:pPr>
        <w:tabs>
          <w:tab w:val="left" w:pos="1080"/>
        </w:tabs>
        <w:spacing w:line="578" w:lineRule="exact"/>
        <w:ind w:firstLine="614" w:firstLineChars="192"/>
        <w:rPr>
          <w:rFonts w:ascii="仿宋_GB2312" w:hAnsi="仿宋_GB2312" w:eastAsia="仿宋_GB2312" w:cs="仿宋_GB2312"/>
          <w:bCs/>
          <w:color w:val="auto"/>
          <w:highlight w:val="none"/>
        </w:rPr>
      </w:pPr>
      <w:r>
        <w:rPr>
          <w:rFonts w:hint="eastAsia" w:ascii="仿宋_GB2312" w:hAnsi="仿宋_GB2312" w:eastAsia="仿宋_GB2312" w:cs="仿宋_GB2312"/>
          <w:bCs/>
          <w:color w:val="auto"/>
          <w:highlight w:val="none"/>
        </w:rPr>
        <w:t>19.1 资格性响应文件和其他响应文件应于递交响应文件截止时间前送达指定地点，采购人拒绝接收截止时间后送达的响应文件。</w:t>
      </w:r>
    </w:p>
    <w:p>
      <w:pPr>
        <w:tabs>
          <w:tab w:val="left" w:pos="1080"/>
        </w:tabs>
        <w:spacing w:line="578" w:lineRule="exact"/>
        <w:ind w:firstLine="614" w:firstLineChars="192"/>
        <w:rPr>
          <w:rFonts w:ascii="仿宋_GB2312" w:hAnsi="仿宋_GB2312" w:eastAsia="仿宋_GB2312" w:cs="仿宋_GB2312"/>
          <w:bCs/>
          <w:color w:val="auto"/>
          <w:highlight w:val="none"/>
        </w:rPr>
      </w:pPr>
      <w:r>
        <w:rPr>
          <w:rFonts w:hint="eastAsia" w:ascii="仿宋_GB2312" w:hAnsi="仿宋_GB2312" w:eastAsia="仿宋_GB2312" w:cs="仿宋_GB2312"/>
          <w:bCs/>
          <w:color w:val="auto"/>
          <w:highlight w:val="none"/>
        </w:rPr>
        <w:t>19.2 采购人将向通过资格审查的供应商发出谈判邀请；告知未通过资格审查的供应商未通过的原因。</w:t>
      </w:r>
    </w:p>
    <w:p>
      <w:pPr>
        <w:tabs>
          <w:tab w:val="left" w:pos="1080"/>
        </w:tabs>
        <w:spacing w:line="578" w:lineRule="exact"/>
        <w:ind w:firstLine="614" w:firstLineChars="192"/>
        <w:rPr>
          <w:rFonts w:ascii="仿宋_GB2312" w:hAnsi="仿宋_GB2312" w:eastAsia="仿宋_GB2312" w:cs="仿宋_GB2312"/>
          <w:bCs/>
          <w:color w:val="auto"/>
          <w:highlight w:val="none"/>
        </w:rPr>
      </w:pPr>
      <w:r>
        <w:rPr>
          <w:rFonts w:hint="eastAsia" w:ascii="仿宋_GB2312" w:hAnsi="仿宋_GB2312" w:eastAsia="仿宋_GB2312" w:cs="仿宋_GB2312"/>
          <w:bCs/>
          <w:color w:val="auto"/>
          <w:highlight w:val="none"/>
        </w:rPr>
        <w:t>19.3 报价表在谈判后，谈判小组要求供应商进行最后报价时递交。</w:t>
      </w:r>
    </w:p>
    <w:bookmarkEnd w:id="52"/>
    <w:bookmarkEnd w:id="53"/>
    <w:bookmarkEnd w:id="54"/>
    <w:bookmarkEnd w:id="55"/>
    <w:bookmarkEnd w:id="56"/>
    <w:p>
      <w:pPr>
        <w:tabs>
          <w:tab w:val="left" w:pos="1080"/>
        </w:tabs>
        <w:spacing w:line="578" w:lineRule="exact"/>
        <w:ind w:firstLine="616" w:firstLineChars="192"/>
        <w:rPr>
          <w:rFonts w:ascii="仿宋_GB2312" w:hAnsi="仿宋_GB2312" w:eastAsia="仿宋_GB2312" w:cs="仿宋_GB2312"/>
          <w:b/>
          <w:color w:val="auto"/>
          <w:highlight w:val="none"/>
        </w:rPr>
      </w:pPr>
      <w:bookmarkStart w:id="57" w:name="_Toc183582228"/>
      <w:bookmarkStart w:id="58" w:name="_Toc217446055"/>
      <w:bookmarkStart w:id="59" w:name="_Toc183682365"/>
      <w:r>
        <w:rPr>
          <w:rFonts w:hint="eastAsia" w:ascii="仿宋_GB2312" w:hAnsi="仿宋_GB2312" w:eastAsia="仿宋_GB2312" w:cs="仿宋_GB2312"/>
          <w:b/>
          <w:color w:val="auto"/>
          <w:highlight w:val="none"/>
        </w:rPr>
        <w:t>20.响应文件的修改和撤回（补充、修改响应文件的密封和标注按照本章“1</w:t>
      </w:r>
      <w:r>
        <w:rPr>
          <w:rFonts w:hint="eastAsia" w:ascii="仿宋_GB2312" w:hAnsi="仿宋_GB2312" w:eastAsia="仿宋_GB2312" w:cs="仿宋_GB2312"/>
          <w:b/>
          <w:color w:val="auto"/>
          <w:highlight w:val="none"/>
          <w:lang w:val="en-US" w:eastAsia="zh-CN"/>
        </w:rPr>
        <w:t>8</w:t>
      </w:r>
      <w:r>
        <w:rPr>
          <w:rFonts w:hint="eastAsia" w:ascii="仿宋_GB2312" w:hAnsi="仿宋_GB2312" w:eastAsia="仿宋_GB2312" w:cs="仿宋_GB2312"/>
          <w:b/>
          <w:color w:val="auto"/>
          <w:highlight w:val="none"/>
        </w:rPr>
        <w:t>.响应文件的密封和标注”规定处理）</w:t>
      </w:r>
    </w:p>
    <w:p>
      <w:pPr>
        <w:pStyle w:val="5"/>
        <w:spacing w:line="578" w:lineRule="exact"/>
        <w:ind w:firstLine="640" w:firstLineChars="200"/>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20.1供应商在提交响应文件后可对其响应文件进行修改或撤回，但该修改或撤回的书面通知须在递交截止时间之前送达采购人，补充、修改的内容作为响应文件的组成部分。且该通知需经正式授权的供应商代表签字方为有效。 供应商在提交响应文件截止时间前，可以对所提交的响应文件进行补充、修改或者撤回，补充、修改的内容与响应文件不一致的，以补充、修改的内容为准。</w:t>
      </w:r>
    </w:p>
    <w:p>
      <w:pPr>
        <w:pStyle w:val="5"/>
        <w:spacing w:line="578" w:lineRule="exact"/>
        <w:ind w:firstLine="480"/>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20.2供应商对响应文件修改的书面材料或撤回的通知应该按规定进行编写、密封、标注和递送，并注明“修改响应文件”字样。</w:t>
      </w:r>
    </w:p>
    <w:p>
      <w:pPr>
        <w:pStyle w:val="5"/>
        <w:spacing w:line="578" w:lineRule="exact"/>
        <w:ind w:firstLine="480"/>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20.3供应商不得在递交截止时间起至响应文件有效期期满前撤销其响应文件，否则将认定其响应文件有效期的承诺为虚假承诺，并依法追究其法律责任。</w:t>
      </w:r>
    </w:p>
    <w:p>
      <w:pPr>
        <w:pStyle w:val="5"/>
        <w:spacing w:line="578" w:lineRule="exact"/>
        <w:ind w:firstLine="480"/>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20.4供应商对其提交的响应文件的真实性、合法性承担法律责任。</w:t>
      </w:r>
      <w:bookmarkEnd w:id="57"/>
      <w:bookmarkEnd w:id="58"/>
      <w:bookmarkEnd w:id="59"/>
    </w:p>
    <w:p>
      <w:pPr>
        <w:pStyle w:val="2"/>
        <w:keepNext w:val="0"/>
        <w:keepLines w:val="0"/>
        <w:spacing w:line="578" w:lineRule="exact"/>
        <w:jc w:val="center"/>
        <w:rPr>
          <w:rFonts w:ascii="黑体" w:hAnsi="黑体" w:cs="黑体"/>
          <w:b w:val="0"/>
          <w:bCs w:val="0"/>
          <w:color w:val="auto"/>
          <w:highlight w:val="none"/>
        </w:rPr>
      </w:pPr>
      <w:r>
        <w:rPr>
          <w:rFonts w:hint="eastAsia" w:ascii="黑体" w:hAnsi="黑体" w:cs="黑体"/>
          <w:b w:val="0"/>
          <w:bCs w:val="0"/>
          <w:color w:val="auto"/>
          <w:highlight w:val="none"/>
        </w:rPr>
        <w:t>五、评审</w:t>
      </w:r>
    </w:p>
    <w:p>
      <w:pPr>
        <w:spacing w:line="578" w:lineRule="exact"/>
        <w:ind w:firstLine="640" w:firstLineChars="200"/>
        <w:rPr>
          <w:rFonts w:ascii="仿宋_GB2312" w:hAnsi="仿宋_GB2312" w:eastAsia="仿宋_GB2312" w:cs="仿宋_GB2312"/>
          <w:bCs/>
          <w:color w:val="auto"/>
          <w:highlight w:val="none"/>
        </w:rPr>
      </w:pPr>
      <w:r>
        <w:rPr>
          <w:rFonts w:hint="eastAsia" w:ascii="仿宋_GB2312" w:hAnsi="仿宋_GB2312" w:eastAsia="仿宋_GB2312" w:cs="仿宋_GB2312"/>
          <w:bCs/>
          <w:color w:val="auto"/>
          <w:highlight w:val="none"/>
        </w:rPr>
        <w:t>21.谈判小组的组建及其评审工作按照有关法律制度和本文件第</w:t>
      </w:r>
      <w:r>
        <w:rPr>
          <w:rFonts w:hint="eastAsia" w:ascii="仿宋_GB2312" w:hAnsi="仿宋_GB2312" w:eastAsia="仿宋_GB2312" w:cs="仿宋_GB2312"/>
          <w:bCs/>
          <w:color w:val="auto"/>
          <w:highlight w:val="none"/>
          <w:lang w:val="en-US" w:eastAsia="zh-CN"/>
        </w:rPr>
        <w:t>六</w:t>
      </w:r>
      <w:r>
        <w:rPr>
          <w:rFonts w:hint="eastAsia" w:ascii="仿宋_GB2312" w:hAnsi="仿宋_GB2312" w:eastAsia="仿宋_GB2312" w:cs="仿宋_GB2312"/>
          <w:bCs/>
          <w:color w:val="auto"/>
          <w:highlight w:val="none"/>
        </w:rPr>
        <w:t>章的规定进行。</w:t>
      </w:r>
    </w:p>
    <w:p>
      <w:pPr>
        <w:pStyle w:val="2"/>
        <w:keepNext w:val="0"/>
        <w:keepLines w:val="0"/>
        <w:spacing w:line="578" w:lineRule="exact"/>
        <w:jc w:val="center"/>
        <w:rPr>
          <w:rFonts w:ascii="黑体" w:hAnsi="黑体" w:cs="黑体"/>
          <w:b w:val="0"/>
          <w:bCs w:val="0"/>
          <w:color w:val="auto"/>
          <w:highlight w:val="none"/>
        </w:rPr>
      </w:pPr>
      <w:r>
        <w:rPr>
          <w:rFonts w:hint="eastAsia" w:ascii="黑体" w:hAnsi="黑体" w:cs="黑体"/>
          <w:b w:val="0"/>
          <w:bCs w:val="0"/>
          <w:color w:val="auto"/>
          <w:highlight w:val="none"/>
        </w:rPr>
        <w:t>六、成交事项</w:t>
      </w:r>
    </w:p>
    <w:p>
      <w:pPr>
        <w:spacing w:line="578" w:lineRule="exact"/>
        <w:ind w:firstLine="642" w:firstLineChars="200"/>
        <w:rPr>
          <w:rFonts w:ascii="仿宋_GB2312" w:hAnsi="仿宋_GB2312" w:eastAsia="仿宋_GB2312" w:cs="仿宋_GB2312"/>
          <w:b/>
          <w:bCs/>
          <w:color w:val="auto"/>
          <w:highlight w:val="none"/>
        </w:rPr>
      </w:pPr>
      <w:r>
        <w:rPr>
          <w:rFonts w:hint="eastAsia" w:ascii="仿宋_GB2312" w:hAnsi="仿宋_GB2312" w:eastAsia="仿宋_GB2312" w:cs="仿宋_GB2312"/>
          <w:b/>
          <w:bCs/>
          <w:color w:val="auto"/>
          <w:highlight w:val="none"/>
        </w:rPr>
        <w:t>22.确定成交供应商</w:t>
      </w:r>
    </w:p>
    <w:p>
      <w:pPr>
        <w:spacing w:line="578" w:lineRule="exact"/>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22.1采购人将按谈判小组推荐的成交候选供应商顺序确定成交供应商。</w:t>
      </w:r>
    </w:p>
    <w:p>
      <w:pPr>
        <w:spacing w:line="578" w:lineRule="exact"/>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22.2采购人确定成交供应商过程中，发现成交候选供应商有下列情形之一的，应当不予确定其为成交供应商：</w:t>
      </w:r>
    </w:p>
    <w:p>
      <w:pPr>
        <w:spacing w:line="578" w:lineRule="exact"/>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（1）发现成交候选供应商存在禁止参加本项目采购活动的违法行为的；</w:t>
      </w:r>
    </w:p>
    <w:p>
      <w:pPr>
        <w:spacing w:line="578" w:lineRule="exact"/>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（2）成交候选供应商因不可抗力，不能继续参加采购活动；</w:t>
      </w:r>
    </w:p>
    <w:p>
      <w:pPr>
        <w:spacing w:line="578" w:lineRule="exact"/>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（3）成交候选供应商无偿赠与或者低于成本价竞争；</w:t>
      </w:r>
    </w:p>
    <w:p>
      <w:pPr>
        <w:spacing w:line="578" w:lineRule="exact"/>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（4）成交候选供应商提供虚假材料；</w:t>
      </w:r>
    </w:p>
    <w:p>
      <w:pPr>
        <w:spacing w:line="578" w:lineRule="exact"/>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（5）成交候选供应商恶意串通。</w:t>
      </w:r>
    </w:p>
    <w:p>
      <w:pPr>
        <w:spacing w:line="578" w:lineRule="exact"/>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成交候选供应商有本条情形之一的，采购人可以确定后一位成交候选供应商为成交供应商，依次类推。无法确定成交供应商的，应当重新组织采购。</w:t>
      </w:r>
    </w:p>
    <w:p>
      <w:pPr>
        <w:spacing w:line="578" w:lineRule="exact"/>
        <w:ind w:firstLine="642" w:firstLineChars="200"/>
        <w:rPr>
          <w:rFonts w:ascii="仿宋_GB2312" w:hAnsi="仿宋_GB2312" w:eastAsia="仿宋_GB2312" w:cs="仿宋_GB2312"/>
          <w:b/>
          <w:bCs/>
          <w:color w:val="auto"/>
          <w:highlight w:val="none"/>
        </w:rPr>
      </w:pPr>
      <w:r>
        <w:rPr>
          <w:rFonts w:hint="eastAsia" w:ascii="仿宋_GB2312" w:hAnsi="仿宋_GB2312" w:eastAsia="仿宋_GB2312" w:cs="仿宋_GB2312"/>
          <w:b/>
          <w:bCs/>
          <w:color w:val="auto"/>
          <w:highlight w:val="none"/>
        </w:rPr>
        <w:t>2</w:t>
      </w:r>
      <w:r>
        <w:rPr>
          <w:rFonts w:hint="eastAsia" w:ascii="仿宋_GB2312" w:hAnsi="仿宋_GB2312" w:eastAsia="仿宋_GB2312" w:cs="仿宋_GB2312"/>
          <w:b/>
          <w:bCs/>
          <w:color w:val="auto"/>
          <w:highlight w:val="none"/>
          <w:lang w:val="en-US" w:eastAsia="zh-CN"/>
        </w:rPr>
        <w:t>3</w:t>
      </w:r>
      <w:r>
        <w:rPr>
          <w:rFonts w:hint="eastAsia" w:ascii="仿宋_GB2312" w:hAnsi="仿宋_GB2312" w:eastAsia="仿宋_GB2312" w:cs="仿宋_GB2312"/>
          <w:b/>
          <w:bCs/>
          <w:color w:val="auto"/>
          <w:highlight w:val="none"/>
        </w:rPr>
        <w:t>.成交结果</w:t>
      </w:r>
    </w:p>
    <w:p>
      <w:pPr>
        <w:spacing w:line="578" w:lineRule="exact"/>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2</w:t>
      </w:r>
      <w:r>
        <w:rPr>
          <w:rFonts w:hint="eastAsia" w:ascii="仿宋_GB2312" w:hAnsi="仿宋_GB2312" w:eastAsia="仿宋_GB2312" w:cs="仿宋_GB2312"/>
          <w:color w:val="auto"/>
          <w:highlight w:val="none"/>
          <w:lang w:val="en-US" w:eastAsia="zh-CN"/>
        </w:rPr>
        <w:t>3</w:t>
      </w:r>
      <w:r>
        <w:rPr>
          <w:rFonts w:hint="eastAsia" w:ascii="仿宋_GB2312" w:hAnsi="仿宋_GB2312" w:eastAsia="仿宋_GB2312" w:cs="仿宋_GB2312"/>
          <w:color w:val="auto"/>
          <w:highlight w:val="none"/>
        </w:rPr>
        <w:t>.1采购人确定成交供应商后，将及时书面通知采购人，发出成交通知书并发布成交结果公告。</w:t>
      </w:r>
    </w:p>
    <w:p>
      <w:pPr>
        <w:spacing w:line="578" w:lineRule="exact"/>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2</w:t>
      </w:r>
      <w:r>
        <w:rPr>
          <w:rFonts w:hint="eastAsia" w:ascii="仿宋_GB2312" w:hAnsi="仿宋_GB2312" w:eastAsia="仿宋_GB2312" w:cs="仿宋_GB2312"/>
          <w:color w:val="auto"/>
          <w:highlight w:val="none"/>
          <w:lang w:val="en-US" w:eastAsia="zh-CN"/>
        </w:rPr>
        <w:t>3</w:t>
      </w:r>
      <w:r>
        <w:rPr>
          <w:rFonts w:hint="eastAsia" w:ascii="仿宋_GB2312" w:hAnsi="仿宋_GB2312" w:eastAsia="仿宋_GB2312" w:cs="仿宋_GB2312"/>
          <w:color w:val="auto"/>
          <w:highlight w:val="none"/>
        </w:rPr>
        <w:t>.2成交供应商应当及时领取成交通知书。</w:t>
      </w:r>
    </w:p>
    <w:p>
      <w:pPr>
        <w:spacing w:line="578" w:lineRule="exact"/>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2</w:t>
      </w:r>
      <w:r>
        <w:rPr>
          <w:rFonts w:hint="eastAsia" w:ascii="仿宋_GB2312" w:hAnsi="仿宋_GB2312" w:eastAsia="仿宋_GB2312" w:cs="仿宋_GB2312"/>
          <w:color w:val="auto"/>
          <w:highlight w:val="none"/>
          <w:lang w:val="en-US" w:eastAsia="zh-CN"/>
        </w:rPr>
        <w:t>3</w:t>
      </w:r>
      <w:r>
        <w:rPr>
          <w:rFonts w:hint="eastAsia" w:ascii="仿宋_GB2312" w:hAnsi="仿宋_GB2312" w:eastAsia="仿宋_GB2312" w:cs="仿宋_GB2312"/>
          <w:color w:val="auto"/>
          <w:highlight w:val="none"/>
        </w:rPr>
        <w:t>.3成交供应商不能及时领取成交通知书，采购人应当通过邮寄、快递等方式将项目成交通知书送达成交供应商。</w:t>
      </w:r>
    </w:p>
    <w:p>
      <w:pPr>
        <w:spacing w:line="578" w:lineRule="exact"/>
        <w:ind w:firstLine="642" w:firstLineChars="200"/>
        <w:rPr>
          <w:rFonts w:ascii="仿宋_GB2312" w:hAnsi="仿宋_GB2312" w:eastAsia="仿宋_GB2312" w:cs="仿宋_GB2312"/>
          <w:b/>
          <w:bCs/>
          <w:color w:val="auto"/>
          <w:highlight w:val="none"/>
        </w:rPr>
      </w:pPr>
      <w:r>
        <w:rPr>
          <w:rFonts w:hint="eastAsia" w:ascii="仿宋_GB2312" w:hAnsi="仿宋_GB2312" w:eastAsia="仿宋_GB2312" w:cs="仿宋_GB2312"/>
          <w:b/>
          <w:bCs/>
          <w:color w:val="auto"/>
          <w:highlight w:val="none"/>
        </w:rPr>
        <w:t>2</w:t>
      </w:r>
      <w:r>
        <w:rPr>
          <w:rFonts w:hint="eastAsia" w:ascii="仿宋_GB2312" w:hAnsi="仿宋_GB2312" w:eastAsia="仿宋_GB2312" w:cs="仿宋_GB2312"/>
          <w:b/>
          <w:bCs/>
          <w:color w:val="auto"/>
          <w:highlight w:val="none"/>
          <w:lang w:val="en-US" w:eastAsia="zh-CN"/>
        </w:rPr>
        <w:t>4</w:t>
      </w:r>
      <w:r>
        <w:rPr>
          <w:rFonts w:hint="eastAsia" w:ascii="仿宋_GB2312" w:hAnsi="仿宋_GB2312" w:eastAsia="仿宋_GB2312" w:cs="仿宋_GB2312"/>
          <w:b/>
          <w:bCs/>
          <w:color w:val="auto"/>
          <w:highlight w:val="none"/>
        </w:rPr>
        <w:t>.成交通知书</w:t>
      </w:r>
    </w:p>
    <w:p>
      <w:pPr>
        <w:spacing w:line="578" w:lineRule="exact"/>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2</w:t>
      </w:r>
      <w:r>
        <w:rPr>
          <w:rFonts w:hint="eastAsia" w:ascii="仿宋_GB2312" w:hAnsi="仿宋_GB2312" w:eastAsia="仿宋_GB2312" w:cs="仿宋_GB2312"/>
          <w:color w:val="auto"/>
          <w:highlight w:val="none"/>
          <w:lang w:val="en-US" w:eastAsia="zh-CN"/>
        </w:rPr>
        <w:t>4</w:t>
      </w:r>
      <w:r>
        <w:rPr>
          <w:rFonts w:hint="eastAsia" w:ascii="仿宋_GB2312" w:hAnsi="仿宋_GB2312" w:eastAsia="仿宋_GB2312" w:cs="仿宋_GB2312"/>
          <w:color w:val="auto"/>
          <w:highlight w:val="none"/>
        </w:rPr>
        <w:t>.1成交通知书为签订采购合同的依据之一，是合同的有效组成部分。</w:t>
      </w:r>
    </w:p>
    <w:p>
      <w:pPr>
        <w:spacing w:line="578" w:lineRule="exact"/>
        <w:ind w:firstLine="640" w:firstLineChars="200"/>
        <w:rPr>
          <w:rFonts w:ascii="仿宋_GB2312" w:hAnsi="仿宋_GB2312" w:eastAsia="仿宋_GB2312" w:cs="仿宋_GB2312"/>
          <w:bCs/>
          <w:color w:val="auto"/>
          <w:highlight w:val="none"/>
        </w:rPr>
      </w:pPr>
      <w:r>
        <w:rPr>
          <w:rFonts w:hint="eastAsia" w:ascii="仿宋_GB2312" w:hAnsi="仿宋_GB2312" w:eastAsia="仿宋_GB2312" w:cs="仿宋_GB2312"/>
          <w:bCs/>
          <w:color w:val="auto"/>
          <w:highlight w:val="none"/>
        </w:rPr>
        <w:t>2</w:t>
      </w:r>
      <w:r>
        <w:rPr>
          <w:rFonts w:hint="eastAsia" w:ascii="仿宋_GB2312" w:hAnsi="仿宋_GB2312" w:eastAsia="仿宋_GB2312" w:cs="仿宋_GB2312"/>
          <w:bCs/>
          <w:color w:val="auto"/>
          <w:highlight w:val="none"/>
          <w:lang w:val="en-US" w:eastAsia="zh-CN"/>
        </w:rPr>
        <w:t>4</w:t>
      </w:r>
      <w:r>
        <w:rPr>
          <w:rFonts w:hint="eastAsia" w:ascii="仿宋_GB2312" w:hAnsi="仿宋_GB2312" w:eastAsia="仿宋_GB2312" w:cs="仿宋_GB2312"/>
          <w:bCs/>
          <w:color w:val="auto"/>
          <w:highlight w:val="none"/>
        </w:rPr>
        <w:t>.2成交通知书对采购人和成交供应商均具有法律效力。成交通知书发出后，采购人无正当理由改变成交结果，或者成交供应商无正当理由放弃成交的，将承担相应的法律责任。</w:t>
      </w:r>
    </w:p>
    <w:p>
      <w:pPr>
        <w:spacing w:line="578" w:lineRule="exact"/>
        <w:ind w:firstLine="640" w:firstLineChars="200"/>
        <w:rPr>
          <w:rFonts w:ascii="仿宋_GB2312" w:hAnsi="仿宋_GB2312" w:eastAsia="仿宋_GB2312" w:cs="仿宋_GB2312"/>
          <w:bCs/>
          <w:color w:val="auto"/>
          <w:highlight w:val="none"/>
        </w:rPr>
      </w:pPr>
      <w:r>
        <w:rPr>
          <w:rFonts w:hint="eastAsia" w:ascii="仿宋_GB2312" w:hAnsi="仿宋_GB2312" w:eastAsia="仿宋_GB2312" w:cs="仿宋_GB2312"/>
          <w:bCs/>
          <w:color w:val="auto"/>
          <w:highlight w:val="none"/>
        </w:rPr>
        <w:t>2</w:t>
      </w:r>
      <w:r>
        <w:rPr>
          <w:rFonts w:hint="eastAsia" w:ascii="仿宋_GB2312" w:hAnsi="仿宋_GB2312" w:eastAsia="仿宋_GB2312" w:cs="仿宋_GB2312"/>
          <w:bCs/>
          <w:color w:val="auto"/>
          <w:highlight w:val="none"/>
          <w:lang w:val="en-US" w:eastAsia="zh-CN"/>
        </w:rPr>
        <w:t>4</w:t>
      </w:r>
      <w:r>
        <w:rPr>
          <w:rFonts w:hint="eastAsia" w:ascii="仿宋_GB2312" w:hAnsi="仿宋_GB2312" w:eastAsia="仿宋_GB2312" w:cs="仿宋_GB2312"/>
          <w:bCs/>
          <w:color w:val="auto"/>
          <w:highlight w:val="none"/>
        </w:rPr>
        <w:t>.3成交供应商的响应文件作为无效响应文件处理或者有采购法律法规规章制度规定的成交无效情形的，采购人/采购人在取得有权主体的认定以后，有权宣布发出的成交通知书无效，并收回发出的成交通知书，依法重新确定成交供应商或者重新开展采购活动。</w:t>
      </w:r>
    </w:p>
    <w:p>
      <w:pPr>
        <w:pStyle w:val="4"/>
        <w:rPr>
          <w:rFonts w:ascii="仿宋_GB2312" w:hAnsi="仿宋_GB2312" w:eastAsia="仿宋_GB2312" w:cs="仿宋_GB2312"/>
          <w:bCs/>
          <w:color w:val="auto"/>
          <w:sz w:val="32"/>
          <w:szCs w:val="32"/>
          <w:highlight w:val="none"/>
        </w:rPr>
      </w:pPr>
    </w:p>
    <w:p>
      <w:pPr>
        <w:pStyle w:val="2"/>
        <w:keepNext w:val="0"/>
        <w:keepLines w:val="0"/>
        <w:spacing w:line="480" w:lineRule="auto"/>
        <w:jc w:val="center"/>
        <w:rPr>
          <w:rFonts w:ascii="黑体" w:hAnsi="黑体" w:cs="黑体"/>
          <w:b w:val="0"/>
          <w:bCs w:val="0"/>
          <w:color w:val="auto"/>
          <w:highlight w:val="none"/>
        </w:rPr>
      </w:pPr>
      <w:r>
        <w:rPr>
          <w:rFonts w:hint="eastAsia" w:ascii="黑体" w:hAnsi="黑体" w:cs="黑体"/>
          <w:b w:val="0"/>
          <w:bCs w:val="0"/>
          <w:color w:val="auto"/>
          <w:highlight w:val="none"/>
        </w:rPr>
        <w:t>七、合同事项</w:t>
      </w:r>
    </w:p>
    <w:p>
      <w:pPr>
        <w:spacing w:line="480" w:lineRule="auto"/>
        <w:ind w:firstLine="629" w:firstLineChars="196"/>
        <w:rPr>
          <w:rFonts w:ascii="仿宋_GB2312" w:hAnsi="仿宋_GB2312" w:eastAsia="仿宋_GB2312" w:cs="仿宋_GB2312"/>
          <w:b/>
          <w:bCs/>
          <w:color w:val="auto"/>
          <w:highlight w:val="none"/>
        </w:rPr>
      </w:pPr>
      <w:bookmarkStart w:id="60" w:name="_Toc209847069"/>
      <w:bookmarkStart w:id="61" w:name="_Toc101250646"/>
      <w:bookmarkStart w:id="62" w:name="_Toc101174151"/>
      <w:bookmarkStart w:id="63" w:name="_Toc430773927"/>
      <w:bookmarkStart w:id="64" w:name="_Toc101338364"/>
      <w:r>
        <w:rPr>
          <w:rFonts w:hint="eastAsia" w:ascii="仿宋_GB2312" w:hAnsi="仿宋_GB2312" w:eastAsia="仿宋_GB2312" w:cs="仿宋_GB2312"/>
          <w:b/>
          <w:bCs/>
          <w:color w:val="auto"/>
          <w:highlight w:val="none"/>
        </w:rPr>
        <w:t>2</w:t>
      </w:r>
      <w:r>
        <w:rPr>
          <w:rFonts w:hint="eastAsia" w:ascii="仿宋_GB2312" w:hAnsi="仿宋_GB2312" w:eastAsia="仿宋_GB2312" w:cs="仿宋_GB2312"/>
          <w:b/>
          <w:bCs/>
          <w:color w:val="auto"/>
          <w:highlight w:val="none"/>
          <w:lang w:val="en-US" w:eastAsia="zh-CN"/>
        </w:rPr>
        <w:t>5</w:t>
      </w:r>
      <w:r>
        <w:rPr>
          <w:rFonts w:hint="eastAsia" w:ascii="仿宋_GB2312" w:hAnsi="仿宋_GB2312" w:eastAsia="仿宋_GB2312" w:cs="仿宋_GB2312"/>
          <w:b/>
          <w:bCs/>
          <w:color w:val="auto"/>
          <w:highlight w:val="none"/>
        </w:rPr>
        <w:t>.签订合同</w:t>
      </w:r>
      <w:bookmarkEnd w:id="60"/>
      <w:bookmarkEnd w:id="61"/>
      <w:bookmarkEnd w:id="62"/>
      <w:bookmarkEnd w:id="63"/>
      <w:bookmarkEnd w:id="64"/>
    </w:p>
    <w:p>
      <w:pPr>
        <w:spacing w:line="480" w:lineRule="auto"/>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2</w:t>
      </w:r>
      <w:r>
        <w:rPr>
          <w:rFonts w:hint="eastAsia" w:ascii="仿宋_GB2312" w:hAnsi="仿宋_GB2312" w:eastAsia="仿宋_GB2312" w:cs="仿宋_GB2312"/>
          <w:color w:val="auto"/>
          <w:highlight w:val="none"/>
          <w:lang w:val="en-US" w:eastAsia="zh-CN"/>
        </w:rPr>
        <w:t>5</w:t>
      </w:r>
      <w:r>
        <w:rPr>
          <w:rFonts w:hint="eastAsia" w:ascii="仿宋_GB2312" w:hAnsi="仿宋_GB2312" w:eastAsia="仿宋_GB2312" w:cs="仿宋_GB2312"/>
          <w:color w:val="auto"/>
          <w:highlight w:val="none"/>
        </w:rPr>
        <w:t>.1 成交供应商应在成交通知书发出之日起三十日内与采购人签订采购合同。由于成交供应商的原因逾期未与采购人签订采购合同的，将视为放弃成交，取消其成交资格并将按相关规定进行处理。</w:t>
      </w:r>
    </w:p>
    <w:p>
      <w:pPr>
        <w:spacing w:line="480" w:lineRule="auto"/>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2</w:t>
      </w:r>
      <w:r>
        <w:rPr>
          <w:rFonts w:hint="eastAsia" w:ascii="仿宋_GB2312" w:hAnsi="仿宋_GB2312" w:eastAsia="仿宋_GB2312" w:cs="仿宋_GB2312"/>
          <w:color w:val="auto"/>
          <w:highlight w:val="none"/>
          <w:lang w:val="en-US" w:eastAsia="zh-CN"/>
        </w:rPr>
        <w:t>5</w:t>
      </w:r>
      <w:r>
        <w:rPr>
          <w:rFonts w:hint="eastAsia" w:ascii="仿宋_GB2312" w:hAnsi="仿宋_GB2312" w:eastAsia="仿宋_GB2312" w:cs="仿宋_GB2312"/>
          <w:color w:val="auto"/>
          <w:highlight w:val="none"/>
        </w:rPr>
        <w:t>.2 谈判文件、成交供应商的响应文件及双方确认的澄清文件等，均为有法律约束力的合同组成部分。</w:t>
      </w:r>
    </w:p>
    <w:p>
      <w:pPr>
        <w:spacing w:line="480" w:lineRule="auto"/>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2</w:t>
      </w:r>
      <w:r>
        <w:rPr>
          <w:rFonts w:hint="eastAsia" w:ascii="仿宋_GB2312" w:hAnsi="仿宋_GB2312" w:eastAsia="仿宋_GB2312" w:cs="仿宋_GB2312"/>
          <w:color w:val="auto"/>
          <w:highlight w:val="none"/>
          <w:lang w:val="en-US" w:eastAsia="zh-CN"/>
        </w:rPr>
        <w:t>5</w:t>
      </w:r>
      <w:r>
        <w:rPr>
          <w:rFonts w:hint="eastAsia" w:ascii="仿宋_GB2312" w:hAnsi="仿宋_GB2312" w:eastAsia="仿宋_GB2312" w:cs="仿宋_GB2312"/>
          <w:color w:val="auto"/>
          <w:highlight w:val="none"/>
        </w:rPr>
        <w:t>.3 采购人不得向成交供应商提出任何不合理的要求，作为签订合同的条件，不得与成交供应商私下订立背离合同实质性内容的任何协议，所签订的合同不得对谈判文件和成交供应商响应文件确定的事项进行修改。</w:t>
      </w:r>
    </w:p>
    <w:p>
      <w:pPr>
        <w:spacing w:line="480" w:lineRule="auto"/>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2</w:t>
      </w:r>
      <w:r>
        <w:rPr>
          <w:rFonts w:hint="eastAsia" w:ascii="仿宋_GB2312" w:hAnsi="仿宋_GB2312" w:eastAsia="仿宋_GB2312" w:cs="仿宋_GB2312"/>
          <w:color w:val="auto"/>
          <w:highlight w:val="none"/>
          <w:lang w:val="en-US" w:eastAsia="zh-CN"/>
        </w:rPr>
        <w:t>5</w:t>
      </w:r>
      <w:r>
        <w:rPr>
          <w:rFonts w:hint="eastAsia" w:ascii="仿宋_GB2312" w:hAnsi="仿宋_GB2312" w:eastAsia="仿宋_GB2312" w:cs="仿宋_GB2312"/>
          <w:color w:val="auto"/>
          <w:highlight w:val="none"/>
        </w:rPr>
        <w:t>.4 成交供应商因不可抗力原因不能履行采购合同或放弃成交的，采购人可以与排在成交供应商之后第一位的成交候选人签订采购合同，以此类推。</w:t>
      </w:r>
    </w:p>
    <w:p>
      <w:pPr>
        <w:spacing w:line="480" w:lineRule="auto"/>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2</w:t>
      </w:r>
      <w:r>
        <w:rPr>
          <w:rFonts w:hint="eastAsia" w:ascii="仿宋_GB2312" w:hAnsi="仿宋_GB2312" w:eastAsia="仿宋_GB2312" w:cs="仿宋_GB2312"/>
          <w:color w:val="auto"/>
          <w:highlight w:val="none"/>
          <w:lang w:val="en-US" w:eastAsia="zh-CN"/>
        </w:rPr>
        <w:t>5</w:t>
      </w:r>
      <w:r>
        <w:rPr>
          <w:rFonts w:hint="eastAsia" w:ascii="仿宋_GB2312" w:hAnsi="仿宋_GB2312" w:eastAsia="仿宋_GB2312" w:cs="仿宋_GB2312"/>
          <w:color w:val="auto"/>
          <w:highlight w:val="none"/>
        </w:rPr>
        <w:t>.5竞争性谈判文件、成交供应商提交的响应文件、谈判中的最后报价、成交供应商承诺书、成交通知书等均称为有法律约束力的合同组成内容。</w:t>
      </w:r>
    </w:p>
    <w:p>
      <w:pPr>
        <w:spacing w:line="480" w:lineRule="auto"/>
        <w:ind w:firstLine="642" w:firstLineChars="200"/>
        <w:rPr>
          <w:rFonts w:ascii="仿宋_GB2312" w:hAnsi="仿宋_GB2312" w:eastAsia="仿宋_GB2312" w:cs="仿宋_GB2312"/>
          <w:b/>
          <w:color w:val="auto"/>
          <w:highlight w:val="none"/>
        </w:rPr>
      </w:pPr>
      <w:r>
        <w:rPr>
          <w:rFonts w:hint="eastAsia" w:ascii="仿宋_GB2312" w:hAnsi="仿宋_GB2312" w:eastAsia="仿宋_GB2312" w:cs="仿宋_GB2312"/>
          <w:b/>
          <w:color w:val="auto"/>
          <w:highlight w:val="none"/>
        </w:rPr>
        <w:t>2</w:t>
      </w:r>
      <w:r>
        <w:rPr>
          <w:rFonts w:hint="eastAsia" w:ascii="仿宋_GB2312" w:hAnsi="仿宋_GB2312" w:eastAsia="仿宋_GB2312" w:cs="仿宋_GB2312"/>
          <w:b/>
          <w:color w:val="auto"/>
          <w:highlight w:val="none"/>
          <w:lang w:val="en-US" w:eastAsia="zh-CN"/>
        </w:rPr>
        <w:t>6</w:t>
      </w:r>
      <w:r>
        <w:rPr>
          <w:rFonts w:hint="eastAsia" w:ascii="仿宋_GB2312" w:hAnsi="仿宋_GB2312" w:eastAsia="仿宋_GB2312" w:cs="仿宋_GB2312"/>
          <w:b/>
          <w:color w:val="auto"/>
          <w:highlight w:val="none"/>
        </w:rPr>
        <w:t>.合同分包（实质性要求）</w:t>
      </w:r>
    </w:p>
    <w:p>
      <w:pPr>
        <w:spacing w:line="480" w:lineRule="auto"/>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本项目不允许成交供应商以合同分包的形式履行采购合同。</w:t>
      </w:r>
    </w:p>
    <w:p>
      <w:pPr>
        <w:spacing w:line="480" w:lineRule="auto"/>
        <w:ind w:firstLine="642" w:firstLineChars="200"/>
        <w:rPr>
          <w:rFonts w:ascii="仿宋_GB2312" w:hAnsi="仿宋_GB2312" w:eastAsia="仿宋_GB2312" w:cs="仿宋_GB2312"/>
          <w:b/>
          <w:color w:val="auto"/>
          <w:highlight w:val="none"/>
        </w:rPr>
      </w:pPr>
      <w:r>
        <w:rPr>
          <w:rFonts w:hint="eastAsia" w:ascii="仿宋_GB2312" w:hAnsi="仿宋_GB2312" w:eastAsia="仿宋_GB2312" w:cs="仿宋_GB2312"/>
          <w:b/>
          <w:color w:val="auto"/>
          <w:highlight w:val="none"/>
        </w:rPr>
        <w:t>2</w:t>
      </w:r>
      <w:r>
        <w:rPr>
          <w:rFonts w:hint="eastAsia" w:ascii="仿宋_GB2312" w:hAnsi="仿宋_GB2312" w:eastAsia="仿宋_GB2312" w:cs="仿宋_GB2312"/>
          <w:b/>
          <w:color w:val="auto"/>
          <w:highlight w:val="none"/>
          <w:lang w:val="en-US" w:eastAsia="zh-CN"/>
        </w:rPr>
        <w:t>7</w:t>
      </w:r>
      <w:r>
        <w:rPr>
          <w:rFonts w:hint="eastAsia" w:ascii="仿宋_GB2312" w:hAnsi="仿宋_GB2312" w:eastAsia="仿宋_GB2312" w:cs="仿宋_GB2312"/>
          <w:b/>
          <w:color w:val="auto"/>
          <w:highlight w:val="none"/>
        </w:rPr>
        <w:t>.合同转包（实质性要求）</w:t>
      </w:r>
    </w:p>
    <w:p>
      <w:pPr>
        <w:spacing w:line="480" w:lineRule="auto"/>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本采购项目严禁成交供应商将任何采购合同义务转包。本项目所称转包，是指成交供应商将采购合同义务转让给第三人，并退出现有采购合同当事人双方的权利义务关系，受让人（即第三人）成为采购合同的另一方当事人的行为。</w:t>
      </w:r>
    </w:p>
    <w:p>
      <w:pPr>
        <w:spacing w:line="480" w:lineRule="auto"/>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成交供应商转包的，视同拒绝履行采购合同义务，将依法追究法律责任。</w:t>
      </w:r>
    </w:p>
    <w:p>
      <w:pPr>
        <w:spacing w:line="480" w:lineRule="auto"/>
        <w:ind w:firstLine="642" w:firstLineChars="200"/>
        <w:rPr>
          <w:rFonts w:ascii="仿宋_GB2312" w:hAnsi="仿宋_GB2312" w:eastAsia="仿宋_GB2312" w:cs="仿宋_GB2312"/>
          <w:b/>
          <w:color w:val="auto"/>
          <w:highlight w:val="none"/>
        </w:rPr>
      </w:pPr>
      <w:r>
        <w:rPr>
          <w:rFonts w:hint="eastAsia" w:ascii="仿宋_GB2312" w:hAnsi="仿宋_GB2312" w:eastAsia="仿宋_GB2312" w:cs="仿宋_GB2312"/>
          <w:b/>
          <w:color w:val="auto"/>
          <w:highlight w:val="none"/>
        </w:rPr>
        <w:t>2</w:t>
      </w:r>
      <w:r>
        <w:rPr>
          <w:rFonts w:hint="eastAsia" w:ascii="仿宋_GB2312" w:hAnsi="仿宋_GB2312" w:eastAsia="仿宋_GB2312" w:cs="仿宋_GB2312"/>
          <w:b/>
          <w:color w:val="auto"/>
          <w:highlight w:val="none"/>
          <w:lang w:val="en-US" w:eastAsia="zh-CN"/>
        </w:rPr>
        <w:t>8</w:t>
      </w:r>
      <w:r>
        <w:rPr>
          <w:rFonts w:hint="eastAsia" w:ascii="仿宋_GB2312" w:hAnsi="仿宋_GB2312" w:eastAsia="仿宋_GB2312" w:cs="仿宋_GB2312"/>
          <w:b/>
          <w:color w:val="auto"/>
          <w:highlight w:val="none"/>
        </w:rPr>
        <w:t>.补充合同</w:t>
      </w:r>
    </w:p>
    <w:p>
      <w:pPr>
        <w:spacing w:line="480" w:lineRule="auto"/>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 xml:space="preserve">采购合同履行过程中，采购人需要追加与合同标的相同的货物或者服务的，在不改变合同其他条款的前提下，可以与成交供应商协商签订补充合同，但所有补充合同的采购金额不得超过原合同采购金额的百分之十，该补充合同应当在原采购合同履行过程中，不得在原采购合同履行结束后，且采购货物、工程和服务的名称、价格、履约方式、验收标准等必须与原采购合同一致。 </w:t>
      </w:r>
    </w:p>
    <w:p>
      <w:pPr>
        <w:spacing w:line="480" w:lineRule="auto"/>
        <w:ind w:firstLine="642" w:firstLineChars="200"/>
        <w:rPr>
          <w:rFonts w:ascii="仿宋_GB2312" w:hAnsi="仿宋_GB2312" w:eastAsia="仿宋_GB2312" w:cs="仿宋_GB2312"/>
          <w:b/>
          <w:color w:val="auto"/>
          <w:highlight w:val="none"/>
        </w:rPr>
      </w:pPr>
      <w:r>
        <w:rPr>
          <w:rFonts w:hint="eastAsia" w:ascii="仿宋_GB2312" w:hAnsi="仿宋_GB2312" w:eastAsia="仿宋_GB2312" w:cs="仿宋_GB2312"/>
          <w:b/>
          <w:color w:val="auto"/>
          <w:highlight w:val="none"/>
          <w:lang w:val="en-US" w:eastAsia="zh-CN"/>
        </w:rPr>
        <w:t>29</w:t>
      </w:r>
      <w:r>
        <w:rPr>
          <w:rFonts w:hint="eastAsia" w:ascii="仿宋_GB2312" w:hAnsi="仿宋_GB2312" w:eastAsia="仿宋_GB2312" w:cs="仿宋_GB2312"/>
          <w:b/>
          <w:color w:val="auto"/>
          <w:highlight w:val="none"/>
        </w:rPr>
        <w:t>.履约保证金（实质性要求）</w:t>
      </w:r>
    </w:p>
    <w:p>
      <w:pPr>
        <w:spacing w:line="480" w:lineRule="auto"/>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本项目不收取履约保证金。</w:t>
      </w:r>
    </w:p>
    <w:p>
      <w:pPr>
        <w:spacing w:line="480" w:lineRule="auto"/>
        <w:ind w:firstLine="642" w:firstLineChars="200"/>
        <w:rPr>
          <w:rFonts w:ascii="仿宋_GB2312" w:hAnsi="仿宋_GB2312" w:eastAsia="仿宋_GB2312" w:cs="仿宋_GB2312"/>
          <w:b/>
          <w:color w:val="auto"/>
          <w:highlight w:val="none"/>
        </w:rPr>
      </w:pPr>
      <w:r>
        <w:rPr>
          <w:rFonts w:hint="eastAsia" w:ascii="仿宋_GB2312" w:hAnsi="仿宋_GB2312" w:eastAsia="仿宋_GB2312" w:cs="仿宋_GB2312"/>
          <w:b/>
          <w:color w:val="auto"/>
          <w:highlight w:val="none"/>
        </w:rPr>
        <w:t>3</w:t>
      </w:r>
      <w:r>
        <w:rPr>
          <w:rFonts w:hint="eastAsia" w:ascii="仿宋_GB2312" w:hAnsi="仿宋_GB2312" w:eastAsia="仿宋_GB2312" w:cs="仿宋_GB2312"/>
          <w:b/>
          <w:color w:val="auto"/>
          <w:highlight w:val="none"/>
          <w:lang w:val="en-US" w:eastAsia="zh-CN"/>
        </w:rPr>
        <w:t>0</w:t>
      </w:r>
      <w:r>
        <w:rPr>
          <w:rFonts w:hint="eastAsia" w:ascii="仿宋_GB2312" w:hAnsi="仿宋_GB2312" w:eastAsia="仿宋_GB2312" w:cs="仿宋_GB2312"/>
          <w:b/>
          <w:color w:val="auto"/>
          <w:highlight w:val="none"/>
        </w:rPr>
        <w:t>.履行合同</w:t>
      </w:r>
    </w:p>
    <w:p>
      <w:pPr>
        <w:spacing w:line="480" w:lineRule="auto"/>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3</w:t>
      </w:r>
      <w:r>
        <w:rPr>
          <w:rFonts w:hint="eastAsia" w:ascii="仿宋_GB2312" w:hAnsi="仿宋_GB2312" w:eastAsia="仿宋_GB2312" w:cs="仿宋_GB2312"/>
          <w:color w:val="auto"/>
          <w:highlight w:val="none"/>
          <w:lang w:val="en-US" w:eastAsia="zh-CN"/>
        </w:rPr>
        <w:t>0</w:t>
      </w:r>
      <w:r>
        <w:rPr>
          <w:rFonts w:hint="eastAsia" w:ascii="仿宋_GB2312" w:hAnsi="仿宋_GB2312" w:eastAsia="仿宋_GB2312" w:cs="仿宋_GB2312"/>
          <w:color w:val="auto"/>
          <w:highlight w:val="none"/>
        </w:rPr>
        <w:t>.1 成交供应商与采购人签订合同后，合同双方应严格执行合同条款，履行合同规定的义务，保证合同的顺利完成。</w:t>
      </w:r>
    </w:p>
    <w:p>
      <w:pPr>
        <w:spacing w:line="480" w:lineRule="auto"/>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3</w:t>
      </w:r>
      <w:r>
        <w:rPr>
          <w:rFonts w:hint="eastAsia" w:ascii="仿宋_GB2312" w:hAnsi="仿宋_GB2312" w:eastAsia="仿宋_GB2312" w:cs="仿宋_GB2312"/>
          <w:color w:val="auto"/>
          <w:highlight w:val="none"/>
          <w:lang w:val="en-US" w:eastAsia="zh-CN"/>
        </w:rPr>
        <w:t>0</w:t>
      </w:r>
      <w:r>
        <w:rPr>
          <w:rFonts w:hint="eastAsia" w:ascii="仿宋_GB2312" w:hAnsi="仿宋_GB2312" w:eastAsia="仿宋_GB2312" w:cs="仿宋_GB2312"/>
          <w:color w:val="auto"/>
          <w:highlight w:val="none"/>
        </w:rPr>
        <w:t>.2 在合同履行过程中，如发生合同纠纷，合同双方应按照《中华人民共和国民法典》的有关规定进行处理。</w:t>
      </w:r>
    </w:p>
    <w:p>
      <w:pPr>
        <w:spacing w:line="480" w:lineRule="auto"/>
        <w:ind w:firstLine="642" w:firstLineChars="200"/>
        <w:rPr>
          <w:rFonts w:ascii="仿宋_GB2312" w:hAnsi="仿宋_GB2312" w:eastAsia="仿宋_GB2312" w:cs="仿宋_GB2312"/>
          <w:b/>
          <w:color w:val="auto"/>
          <w:highlight w:val="none"/>
        </w:rPr>
      </w:pPr>
      <w:r>
        <w:rPr>
          <w:rFonts w:hint="eastAsia" w:ascii="仿宋_GB2312" w:hAnsi="仿宋_GB2312" w:eastAsia="仿宋_GB2312" w:cs="仿宋_GB2312"/>
          <w:b/>
          <w:color w:val="auto"/>
          <w:highlight w:val="none"/>
        </w:rPr>
        <w:t>3</w:t>
      </w:r>
      <w:r>
        <w:rPr>
          <w:rFonts w:hint="eastAsia" w:ascii="仿宋_GB2312" w:hAnsi="仿宋_GB2312" w:eastAsia="仿宋_GB2312" w:cs="仿宋_GB2312"/>
          <w:b/>
          <w:color w:val="auto"/>
          <w:highlight w:val="none"/>
          <w:lang w:val="en-US" w:eastAsia="zh-CN"/>
        </w:rPr>
        <w:t>1</w:t>
      </w:r>
      <w:r>
        <w:rPr>
          <w:rFonts w:hint="eastAsia" w:ascii="仿宋_GB2312" w:hAnsi="仿宋_GB2312" w:eastAsia="仿宋_GB2312" w:cs="仿宋_GB2312"/>
          <w:b/>
          <w:color w:val="auto"/>
          <w:highlight w:val="none"/>
        </w:rPr>
        <w:t>.验收</w:t>
      </w:r>
    </w:p>
    <w:p>
      <w:pPr>
        <w:spacing w:line="480" w:lineRule="auto"/>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3</w:t>
      </w:r>
      <w:r>
        <w:rPr>
          <w:rFonts w:hint="eastAsia" w:ascii="仿宋_GB2312" w:hAnsi="仿宋_GB2312" w:eastAsia="仿宋_GB2312" w:cs="仿宋_GB2312"/>
          <w:color w:val="auto"/>
          <w:highlight w:val="none"/>
          <w:lang w:val="en-US" w:eastAsia="zh-CN"/>
        </w:rPr>
        <w:t>1</w:t>
      </w:r>
      <w:r>
        <w:rPr>
          <w:rFonts w:hint="eastAsia" w:ascii="仿宋_GB2312" w:hAnsi="仿宋_GB2312" w:eastAsia="仿宋_GB2312" w:cs="仿宋_GB2312"/>
          <w:color w:val="auto"/>
          <w:highlight w:val="none"/>
        </w:rPr>
        <w:t>.1本项目采购人将严格按照政府采购相关法律法规以及《财政部关于进一步加强政府采购需求和履约验收管理的指导意见》（财库[2016]205 号）的要求进行验收。</w:t>
      </w:r>
    </w:p>
    <w:p>
      <w:pPr>
        <w:spacing w:line="480" w:lineRule="auto"/>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3</w:t>
      </w:r>
      <w:r>
        <w:rPr>
          <w:rFonts w:hint="eastAsia" w:ascii="仿宋_GB2312" w:hAnsi="仿宋_GB2312" w:eastAsia="仿宋_GB2312" w:cs="仿宋_GB2312"/>
          <w:color w:val="auto"/>
          <w:highlight w:val="none"/>
          <w:lang w:val="en-US" w:eastAsia="zh-CN"/>
        </w:rPr>
        <w:t>1</w:t>
      </w:r>
      <w:r>
        <w:rPr>
          <w:rFonts w:hint="eastAsia" w:ascii="仿宋_GB2312" w:hAnsi="仿宋_GB2312" w:eastAsia="仿宋_GB2312" w:cs="仿宋_GB2312"/>
          <w:color w:val="auto"/>
          <w:highlight w:val="none"/>
        </w:rPr>
        <w:t>.2验收结果不合格的，将不予支付采购资金，还可能会报本项目同级财政部门按照政府采购法律法规及《四川省公共资源交易领域严重失信联合惩戒实施办法》(川发改信用规〔2019〕405号)和《关于对政府采购领域严重违法失信主体开展联合惩戒的合作备忘录》（发改财金〔2018〕1614号）等有关规定给予行政处罚或者以失信行为记入诚信档案。</w:t>
      </w:r>
    </w:p>
    <w:p>
      <w:pPr>
        <w:pStyle w:val="2"/>
        <w:keepNext w:val="0"/>
        <w:keepLines w:val="0"/>
        <w:spacing w:before="0" w:after="0" w:line="480" w:lineRule="auto"/>
        <w:jc w:val="center"/>
        <w:rPr>
          <w:rFonts w:ascii="黑体" w:hAnsi="黑体" w:cs="黑体"/>
          <w:b w:val="0"/>
          <w:bCs w:val="0"/>
          <w:color w:val="auto"/>
          <w:highlight w:val="none"/>
        </w:rPr>
      </w:pPr>
      <w:r>
        <w:rPr>
          <w:rFonts w:hint="eastAsia" w:ascii="黑体" w:hAnsi="黑体" w:cs="黑体"/>
          <w:b w:val="0"/>
          <w:bCs w:val="0"/>
          <w:color w:val="auto"/>
          <w:highlight w:val="none"/>
        </w:rPr>
        <w:t>八、谈判纪律要求</w:t>
      </w:r>
    </w:p>
    <w:p>
      <w:pPr>
        <w:tabs>
          <w:tab w:val="left" w:pos="851"/>
        </w:tabs>
        <w:spacing w:line="480" w:lineRule="auto"/>
        <w:ind w:firstLine="642" w:firstLineChars="200"/>
        <w:rPr>
          <w:rFonts w:ascii="仿宋_GB2312" w:hAnsi="仿宋_GB2312" w:eastAsia="仿宋_GB2312" w:cs="仿宋_GB2312"/>
          <w:b/>
          <w:color w:val="auto"/>
          <w:highlight w:val="none"/>
        </w:rPr>
      </w:pPr>
      <w:r>
        <w:rPr>
          <w:rFonts w:hint="eastAsia" w:ascii="仿宋_GB2312" w:hAnsi="仿宋_GB2312" w:eastAsia="仿宋_GB2312" w:cs="仿宋_GB2312"/>
          <w:b/>
          <w:color w:val="auto"/>
          <w:highlight w:val="none"/>
        </w:rPr>
        <w:t>3</w:t>
      </w:r>
      <w:r>
        <w:rPr>
          <w:rFonts w:hint="eastAsia" w:ascii="仿宋_GB2312" w:hAnsi="仿宋_GB2312" w:eastAsia="仿宋_GB2312" w:cs="仿宋_GB2312"/>
          <w:b/>
          <w:color w:val="auto"/>
          <w:highlight w:val="none"/>
          <w:lang w:val="en-US" w:eastAsia="zh-CN"/>
        </w:rPr>
        <w:t>2</w:t>
      </w:r>
      <w:r>
        <w:rPr>
          <w:rFonts w:hint="eastAsia" w:ascii="仿宋_GB2312" w:hAnsi="仿宋_GB2312" w:eastAsia="仿宋_GB2312" w:cs="仿宋_GB2312"/>
          <w:b/>
          <w:color w:val="auto"/>
          <w:highlight w:val="none"/>
        </w:rPr>
        <w:t>.供应商不得具有的情形</w:t>
      </w:r>
    </w:p>
    <w:p>
      <w:pPr>
        <w:tabs>
          <w:tab w:val="left" w:pos="851"/>
        </w:tabs>
        <w:spacing w:line="480" w:lineRule="auto"/>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供应商参加本项目谈判不得有下列情形：</w:t>
      </w:r>
    </w:p>
    <w:p>
      <w:pPr>
        <w:tabs>
          <w:tab w:val="left" w:pos="851"/>
        </w:tabs>
        <w:spacing w:line="480" w:lineRule="auto"/>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（1）提供虚假材料谋取成交；</w:t>
      </w:r>
    </w:p>
    <w:p>
      <w:pPr>
        <w:tabs>
          <w:tab w:val="left" w:pos="851"/>
        </w:tabs>
        <w:spacing w:line="480" w:lineRule="auto"/>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（2）采取不正当手段诋毁、排挤其他供应商；</w:t>
      </w:r>
    </w:p>
    <w:p>
      <w:pPr>
        <w:tabs>
          <w:tab w:val="left" w:pos="851"/>
        </w:tabs>
        <w:spacing w:line="480" w:lineRule="auto"/>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（3）与采购人、或其他供应商恶意串通；</w:t>
      </w:r>
    </w:p>
    <w:p>
      <w:pPr>
        <w:tabs>
          <w:tab w:val="left" w:pos="851"/>
        </w:tabs>
        <w:spacing w:line="480" w:lineRule="auto"/>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（4）向采购人、谈判小组成员行贿或者提供其他不正当利益；</w:t>
      </w:r>
    </w:p>
    <w:p>
      <w:pPr>
        <w:tabs>
          <w:tab w:val="left" w:pos="851"/>
        </w:tabs>
        <w:spacing w:line="480" w:lineRule="auto"/>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（5）在谈判过程中与采购人进行协商；</w:t>
      </w:r>
    </w:p>
    <w:p>
      <w:pPr>
        <w:tabs>
          <w:tab w:val="left" w:pos="851"/>
        </w:tabs>
        <w:spacing w:line="480" w:lineRule="auto"/>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（6）成交后无正当理由拒不与采购人签订采购合同；</w:t>
      </w:r>
    </w:p>
    <w:p>
      <w:pPr>
        <w:tabs>
          <w:tab w:val="left" w:pos="851"/>
        </w:tabs>
        <w:spacing w:line="480" w:lineRule="auto"/>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（7）未按照谈判文件确定的事项签订采购合同；</w:t>
      </w:r>
    </w:p>
    <w:p>
      <w:pPr>
        <w:tabs>
          <w:tab w:val="left" w:pos="851"/>
        </w:tabs>
        <w:spacing w:line="480" w:lineRule="auto"/>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（8）将采购合同转包或者违规分包；</w:t>
      </w:r>
    </w:p>
    <w:p>
      <w:pPr>
        <w:tabs>
          <w:tab w:val="left" w:pos="851"/>
        </w:tabs>
        <w:spacing w:line="480" w:lineRule="auto"/>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（9）提供假冒伪劣产品；</w:t>
      </w:r>
    </w:p>
    <w:p>
      <w:pPr>
        <w:tabs>
          <w:tab w:val="left" w:pos="851"/>
        </w:tabs>
        <w:spacing w:line="480" w:lineRule="auto"/>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（10）擅自变更、中止或者终止采购合同；</w:t>
      </w:r>
    </w:p>
    <w:p>
      <w:pPr>
        <w:tabs>
          <w:tab w:val="left" w:pos="851"/>
        </w:tabs>
        <w:spacing w:line="480" w:lineRule="auto"/>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（11）拒绝有关部门的监督检查或者向监督检查部门提供虚假情况；</w:t>
      </w:r>
    </w:p>
    <w:p>
      <w:pPr>
        <w:tabs>
          <w:tab w:val="left" w:pos="851"/>
        </w:tabs>
        <w:spacing w:line="480" w:lineRule="auto"/>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（12）法律法规规定的其他情形。</w:t>
      </w:r>
    </w:p>
    <w:p>
      <w:pPr>
        <w:tabs>
          <w:tab w:val="left" w:pos="851"/>
        </w:tabs>
        <w:spacing w:line="480" w:lineRule="auto"/>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供应商有上述情形的，按照规定追究法律责任，具备（1）-（12）条情形之一的，同时将取消被确认为成交供应商的资格或者认定成交无效。</w:t>
      </w:r>
    </w:p>
    <w:p>
      <w:pPr>
        <w:tabs>
          <w:tab w:val="left" w:pos="851"/>
        </w:tabs>
        <w:spacing w:line="480" w:lineRule="auto"/>
        <w:jc w:val="center"/>
        <w:outlineLvl w:val="1"/>
        <w:rPr>
          <w:rFonts w:ascii="黑体" w:hAnsi="黑体" w:eastAsia="黑体" w:cs="黑体"/>
          <w:bCs/>
          <w:color w:val="auto"/>
          <w:highlight w:val="none"/>
        </w:rPr>
      </w:pPr>
      <w:r>
        <w:rPr>
          <w:rFonts w:hint="eastAsia" w:ascii="黑体" w:hAnsi="黑体" w:eastAsia="黑体" w:cs="黑体"/>
          <w:bCs/>
          <w:color w:val="auto"/>
          <w:highlight w:val="none"/>
        </w:rPr>
        <w:t>九、其  他</w:t>
      </w:r>
    </w:p>
    <w:p>
      <w:pPr>
        <w:pStyle w:val="14"/>
        <w:spacing w:line="480" w:lineRule="auto"/>
        <w:ind w:firstLine="640" w:firstLineChars="200"/>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3</w:t>
      </w:r>
      <w:r>
        <w:rPr>
          <w:rFonts w:hint="eastAsia" w:ascii="仿宋_GB2312" w:hAnsi="仿宋_GB2312" w:eastAsia="仿宋_GB2312" w:cs="仿宋_GB2312"/>
          <w:color w:val="auto"/>
          <w:sz w:val="32"/>
          <w:szCs w:val="32"/>
          <w:highlight w:val="none"/>
          <w:lang w:val="en-US" w:eastAsia="zh-CN"/>
        </w:rPr>
        <w:t>3</w:t>
      </w:r>
      <w:r>
        <w:rPr>
          <w:rFonts w:hint="eastAsia" w:ascii="仿宋_GB2312" w:hAnsi="仿宋_GB2312" w:eastAsia="仿宋_GB2312" w:cs="仿宋_GB2312"/>
          <w:color w:val="auto"/>
          <w:sz w:val="32"/>
          <w:szCs w:val="32"/>
          <w:highlight w:val="none"/>
        </w:rPr>
        <w:t>.本谈判文件中所引相关法律制度规定，在采购中有变化的，按照变化后的相关法律制度规定执行。本章规定的内容条款，在本项目递交响应文件截止时间届满后，因相关法律制度规定的变化导致不符合相关法律制度规定的，直接按照变化后的相关法律制度规定执行，本谈判文件不再做调整。</w:t>
      </w:r>
    </w:p>
    <w:p>
      <w:pPr>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3</w:t>
      </w:r>
      <w:r>
        <w:rPr>
          <w:rFonts w:hint="eastAsia" w:ascii="仿宋_GB2312" w:hAnsi="仿宋_GB2312" w:eastAsia="仿宋_GB2312" w:cs="仿宋_GB2312"/>
          <w:color w:val="auto"/>
          <w:highlight w:val="none"/>
          <w:lang w:val="en-US" w:eastAsia="zh-CN"/>
        </w:rPr>
        <w:t>4</w:t>
      </w:r>
      <w:r>
        <w:rPr>
          <w:rFonts w:hint="eastAsia" w:ascii="仿宋_GB2312" w:hAnsi="仿宋_GB2312" w:eastAsia="仿宋_GB2312" w:cs="仿宋_GB2312"/>
          <w:color w:val="auto"/>
          <w:highlight w:val="none"/>
        </w:rPr>
        <w:t>.</w:t>
      </w:r>
      <w:r>
        <w:rPr>
          <w:rFonts w:hint="eastAsia" w:ascii="仿宋_GB2312" w:hAnsi="仿宋_GB2312" w:eastAsia="仿宋_GB2312" w:cs="仿宋_GB2312"/>
          <w:b/>
          <w:color w:val="auto"/>
          <w:highlight w:val="none"/>
        </w:rPr>
        <w:t>（实质性要求）</w:t>
      </w:r>
      <w:r>
        <w:rPr>
          <w:rFonts w:hint="eastAsia" w:ascii="仿宋_GB2312" w:hAnsi="仿宋_GB2312" w:eastAsia="仿宋_GB2312" w:cs="仿宋_GB2312"/>
          <w:color w:val="auto"/>
          <w:highlight w:val="none"/>
        </w:rPr>
        <w:t>国家或行业主管部门对供应商和采购产品的技术标准、质量标准和资格资质条件等有强制性规定的，必须符合其要求。</w:t>
      </w:r>
    </w:p>
    <w:p>
      <w:pPr>
        <w:rPr>
          <w:rFonts w:ascii="仿宋_GB2312" w:hAnsi="仿宋_GB2312" w:eastAsia="仿宋_GB2312" w:cs="仿宋_GB2312"/>
          <w:color w:val="auto"/>
          <w:highlight w:val="none"/>
        </w:rPr>
      </w:pPr>
    </w:p>
    <w:p>
      <w:pPr>
        <w:rPr>
          <w:rFonts w:ascii="仿宋_GB2312" w:hAnsi="仿宋_GB2312" w:eastAsia="仿宋_GB2312" w:cs="仿宋_GB2312"/>
          <w:color w:val="auto"/>
          <w:highlight w:val="none"/>
        </w:rPr>
      </w:pPr>
    </w:p>
    <w:p>
      <w:pPr>
        <w:spacing w:line="578" w:lineRule="exact"/>
        <w:jc w:val="both"/>
        <w:outlineLvl w:val="0"/>
        <w:rPr>
          <w:rFonts w:hint="eastAsia" w:ascii="黑体" w:hAnsi="黑体" w:eastAsia="黑体" w:cs="黑体"/>
          <w:bCs/>
          <w:color w:val="auto"/>
          <w:highlight w:val="none"/>
        </w:rPr>
      </w:pPr>
      <w:bookmarkStart w:id="65" w:name="_Toc12078"/>
    </w:p>
    <w:p>
      <w:pPr>
        <w:spacing w:line="578" w:lineRule="exact"/>
        <w:jc w:val="center"/>
        <w:outlineLvl w:val="0"/>
        <w:rPr>
          <w:rFonts w:ascii="黑体" w:hAnsi="黑体" w:eastAsia="黑体" w:cs="黑体"/>
          <w:bCs/>
          <w:color w:val="auto"/>
          <w:highlight w:val="none"/>
        </w:rPr>
      </w:pPr>
      <w:r>
        <w:rPr>
          <w:rFonts w:hint="eastAsia" w:ascii="黑体" w:hAnsi="黑体" w:eastAsia="黑体" w:cs="黑体"/>
          <w:bCs/>
          <w:color w:val="auto"/>
          <w:highlight w:val="none"/>
        </w:rPr>
        <w:t>第三章  采购项目技术、服务及其他商务要求</w:t>
      </w:r>
      <w:bookmarkEnd w:id="65"/>
    </w:p>
    <w:p>
      <w:pPr>
        <w:pStyle w:val="4"/>
        <w:rPr>
          <w:color w:val="auto"/>
          <w:highlight w:val="none"/>
        </w:rPr>
      </w:pPr>
    </w:p>
    <w:p>
      <w:pPr>
        <w:spacing w:line="578" w:lineRule="exact"/>
        <w:ind w:firstLine="624" w:firstLineChars="200"/>
        <w:jc w:val="left"/>
        <w:rPr>
          <w:rFonts w:ascii="黑体" w:hAnsi="黑体" w:eastAsia="黑体" w:cs="黑体"/>
          <w:color w:val="auto"/>
          <w:spacing w:val="-4"/>
          <w:highlight w:val="none"/>
        </w:rPr>
      </w:pPr>
      <w:bookmarkStart w:id="66" w:name="_Toc530045807"/>
      <w:bookmarkStart w:id="67" w:name="_Toc530057460"/>
      <w:bookmarkStart w:id="68" w:name="_Toc529978532"/>
      <w:r>
        <w:rPr>
          <w:rFonts w:hint="eastAsia" w:ascii="黑体" w:hAnsi="黑体" w:eastAsia="黑体" w:cs="黑体"/>
          <w:color w:val="auto"/>
          <w:spacing w:val="-4"/>
          <w:highlight w:val="none"/>
        </w:rPr>
        <w:t>一、项目概述</w:t>
      </w:r>
      <w:bookmarkEnd w:id="66"/>
      <w:bookmarkEnd w:id="67"/>
      <w:bookmarkEnd w:id="68"/>
    </w:p>
    <w:p>
      <w:pPr>
        <w:spacing w:line="578" w:lineRule="exact"/>
        <w:ind w:firstLine="640" w:firstLineChars="200"/>
        <w:jc w:val="left"/>
        <w:rPr>
          <w:rFonts w:hint="eastAsia" w:ascii="仿宋_GB2312" w:hAnsi="仿宋_GB2312" w:eastAsia="仿宋_GB2312" w:cs="仿宋_GB2312"/>
          <w:color w:val="auto"/>
          <w:highlight w:val="none"/>
          <w:lang w:val="en-US" w:eastAsia="zh-CN"/>
        </w:rPr>
      </w:pPr>
      <w:r>
        <w:rPr>
          <w:rFonts w:hint="eastAsia" w:ascii="仿宋_GB2312" w:hAnsi="仿宋_GB2312" w:eastAsia="仿宋_GB2312" w:cs="仿宋_GB2312"/>
          <w:color w:val="auto"/>
          <w:highlight w:val="none"/>
          <w:lang w:val="en-US" w:eastAsia="zh-CN"/>
        </w:rPr>
        <w:t>达州东部经开区生态智慧城综合开发建设项目（供水工程-任家咀取水泵房）：本项目主体按20万m3/d 一次建成，水泵设备按近期10 万m3/d 安装。设置有水泵室、控制室、高低压配电室等基本功能房间，配套建设进场道路长度约500m。</w:t>
      </w:r>
    </w:p>
    <w:p>
      <w:pPr>
        <w:spacing w:line="578" w:lineRule="exact"/>
        <w:ind w:firstLine="624" w:firstLineChars="200"/>
        <w:jc w:val="left"/>
        <w:rPr>
          <w:rFonts w:ascii="黑体" w:hAnsi="黑体" w:eastAsia="黑体" w:cs="黑体"/>
          <w:color w:val="auto"/>
          <w:spacing w:val="-4"/>
          <w:highlight w:val="none"/>
        </w:rPr>
      </w:pPr>
      <w:r>
        <w:rPr>
          <w:rFonts w:hint="eastAsia" w:ascii="黑体" w:hAnsi="黑体" w:eastAsia="黑体" w:cs="黑体"/>
          <w:color w:val="auto"/>
          <w:spacing w:val="-4"/>
          <w:highlight w:val="none"/>
        </w:rPr>
        <w:t>二、服务内容（实质性要求）</w:t>
      </w:r>
    </w:p>
    <w:p>
      <w:pPr>
        <w:spacing w:line="578" w:lineRule="exact"/>
        <w:ind w:firstLine="640" w:firstLineChars="200"/>
        <w:jc w:val="left"/>
        <w:rPr>
          <w:rFonts w:hint="eastAsia" w:ascii="仿宋_GB2312" w:hAnsi="仿宋_GB2312" w:eastAsia="仿宋_GB2312" w:cs="仿宋_GB2312"/>
          <w:color w:val="auto"/>
          <w:highlight w:val="none"/>
          <w:lang w:val="en-US" w:eastAsia="zh-CN"/>
        </w:rPr>
      </w:pPr>
      <w:r>
        <w:rPr>
          <w:rFonts w:hint="eastAsia" w:ascii="仿宋_GB2312" w:hAnsi="仿宋_GB2312" w:eastAsia="仿宋_GB2312" w:cs="仿宋_GB2312"/>
          <w:color w:val="auto"/>
          <w:highlight w:val="none"/>
          <w:lang w:val="en-US" w:eastAsia="zh-CN"/>
        </w:rPr>
        <w:t>完成达州东部经开区生态智慧城综合开发建设项目（供水工程-任家咀取水泵房）项目航道通航条件影响评价报告编制，参与主管部门组织的专家技术审查（成果资料：纸质版4份、电子版一份），并配合取得航道主管部门相应批复文件。</w:t>
      </w:r>
    </w:p>
    <w:p>
      <w:pPr>
        <w:spacing w:line="578" w:lineRule="exact"/>
        <w:ind w:firstLine="624" w:firstLineChars="200"/>
        <w:jc w:val="left"/>
        <w:rPr>
          <w:rFonts w:ascii="黑体" w:hAnsi="黑体" w:eastAsia="黑体" w:cs="黑体"/>
          <w:color w:val="auto"/>
          <w:highlight w:val="none"/>
        </w:rPr>
      </w:pPr>
      <w:r>
        <w:rPr>
          <w:rFonts w:hint="eastAsia" w:ascii="黑体" w:hAnsi="黑体" w:eastAsia="黑体" w:cs="黑体"/>
          <w:color w:val="auto"/>
          <w:spacing w:val="-4"/>
          <w:highlight w:val="none"/>
        </w:rPr>
        <w:t>三、</w:t>
      </w:r>
      <w:r>
        <w:rPr>
          <w:rFonts w:hint="eastAsia" w:ascii="黑体" w:hAnsi="黑体" w:eastAsia="黑体" w:cs="黑体"/>
          <w:color w:val="auto"/>
          <w:highlight w:val="none"/>
        </w:rPr>
        <w:t>商务要求（实质性要求）</w:t>
      </w:r>
    </w:p>
    <w:p>
      <w:pPr>
        <w:spacing w:line="578" w:lineRule="exact"/>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1.履约期限：以合同约定为准。</w:t>
      </w:r>
    </w:p>
    <w:p>
      <w:pPr>
        <w:spacing w:line="578" w:lineRule="exact"/>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2.付款方式：完成</w:t>
      </w:r>
      <w:r>
        <w:rPr>
          <w:rFonts w:hint="eastAsia" w:ascii="仿宋_GB2312" w:hAnsi="仿宋_GB2312" w:eastAsia="仿宋_GB2312" w:cs="仿宋_GB2312"/>
          <w:color w:val="auto"/>
          <w:highlight w:val="none"/>
          <w:lang w:val="en-US" w:eastAsia="zh-CN"/>
        </w:rPr>
        <w:t>航道通航条件影响评价报告编制</w:t>
      </w:r>
      <w:r>
        <w:rPr>
          <w:rFonts w:hint="eastAsia" w:ascii="仿宋_GB2312" w:hAnsi="仿宋_GB2312" w:eastAsia="仿宋_GB2312" w:cs="仿宋_GB2312"/>
          <w:color w:val="auto"/>
          <w:highlight w:val="none"/>
          <w:lang w:eastAsia="zh-CN"/>
        </w:rPr>
        <w:t>，</w:t>
      </w:r>
      <w:r>
        <w:rPr>
          <w:rFonts w:hint="eastAsia" w:ascii="仿宋_GB2312" w:hAnsi="仿宋_GB2312" w:eastAsia="仿宋_GB2312" w:cs="仿宋_GB2312"/>
          <w:color w:val="auto"/>
          <w:highlight w:val="none"/>
          <w:lang w:val="en-US" w:eastAsia="zh-CN"/>
        </w:rPr>
        <w:t>参与主管部门组织的专家技术审查，提交合格的成果资料</w:t>
      </w:r>
      <w:r>
        <w:rPr>
          <w:rFonts w:hint="eastAsia" w:ascii="仿宋_GB2312" w:hAnsi="仿宋_GB2312" w:eastAsia="仿宋_GB2312" w:cs="仿宋_GB2312"/>
          <w:color w:val="auto"/>
          <w:highlight w:val="none"/>
        </w:rPr>
        <w:t>并取得航道主管部门批复文件后一次性支付。</w:t>
      </w:r>
    </w:p>
    <w:p>
      <w:pPr>
        <w:spacing w:line="578" w:lineRule="exact"/>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3.验收方式和验收标准：按国家有关规定、采购文件的服务要求、供应商的响应文件及承诺以及合同约定标准及《财政部关于进一步加强政府采购需求和履约验收管理的指导意见》（财库〔2016〕205号）的要求进行验收。</w:t>
      </w:r>
    </w:p>
    <w:p>
      <w:pPr>
        <w:spacing w:line="578" w:lineRule="exact"/>
        <w:ind w:firstLine="640" w:firstLineChars="200"/>
        <w:jc w:val="left"/>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4.其他未尽事宜以合同约定为准。</w:t>
      </w:r>
    </w:p>
    <w:p>
      <w:pPr>
        <w:pStyle w:val="10"/>
        <w:spacing w:line="578" w:lineRule="exact"/>
        <w:rPr>
          <w:rFonts w:ascii="黑体" w:hAnsi="黑体" w:eastAsia="黑体" w:cs="黑体"/>
          <w:b w:val="0"/>
          <w:bCs w:val="0"/>
          <w:color w:val="auto"/>
          <w:highlight w:val="none"/>
        </w:rPr>
      </w:pPr>
      <w:bookmarkStart w:id="69" w:name="_Toc28205"/>
      <w:r>
        <w:rPr>
          <w:rFonts w:hint="eastAsia" w:ascii="黑体" w:hAnsi="黑体" w:eastAsia="黑体" w:cs="黑体"/>
          <w:b w:val="0"/>
          <w:bCs w:val="0"/>
          <w:color w:val="auto"/>
          <w:highlight w:val="none"/>
        </w:rPr>
        <w:t>第四章  谈判内容、谈判过程中可实质性变动的内容</w:t>
      </w:r>
      <w:bookmarkEnd w:id="69"/>
    </w:p>
    <w:p>
      <w:pPr>
        <w:tabs>
          <w:tab w:val="left" w:pos="7665"/>
        </w:tabs>
        <w:spacing w:line="578" w:lineRule="exact"/>
        <w:ind w:firstLine="480"/>
        <w:rPr>
          <w:rFonts w:ascii="仿宋_GB2312" w:hAnsi="仿宋_GB2312" w:eastAsia="仿宋_GB2312" w:cs="仿宋_GB2312"/>
          <w:bCs/>
          <w:color w:val="auto"/>
          <w:highlight w:val="none"/>
        </w:rPr>
      </w:pPr>
      <w:r>
        <w:rPr>
          <w:rFonts w:hint="eastAsia" w:ascii="仿宋_GB2312" w:hAnsi="仿宋_GB2312" w:eastAsia="仿宋_GB2312" w:cs="仿宋_GB2312"/>
          <w:color w:val="auto"/>
          <w:highlight w:val="none"/>
        </w:rPr>
        <w:t>针对第四章、第八章所包含的技术、服务要求以及合同草案条款，在谈判过程中，可以根据谈判情况实质性变动相关内容。谈判小组对谈判文件作出的实质性变动是谈判文件的有效组成部分，谈判小组会及时以书面形式通知所有参加谈判的供应商。</w:t>
      </w:r>
    </w:p>
    <w:p>
      <w:pPr>
        <w:spacing w:line="578" w:lineRule="exact"/>
        <w:jc w:val="center"/>
        <w:outlineLvl w:val="0"/>
        <w:rPr>
          <w:rFonts w:ascii="仿宋_GB2312" w:hAnsi="仿宋_GB2312" w:eastAsia="仿宋_GB2312" w:cs="仿宋_GB2312"/>
          <w:b/>
          <w:bCs/>
          <w:color w:val="auto"/>
          <w:highlight w:val="none"/>
        </w:rPr>
      </w:pPr>
      <w:r>
        <w:rPr>
          <w:rFonts w:hint="eastAsia" w:ascii="仿宋_GB2312" w:hAnsi="仿宋_GB2312" w:eastAsia="仿宋_GB2312" w:cs="仿宋_GB2312"/>
          <w:b/>
          <w:bCs/>
          <w:color w:val="auto"/>
          <w:highlight w:val="none"/>
        </w:rPr>
        <w:br w:type="page"/>
      </w:r>
      <w:bookmarkStart w:id="70" w:name="_Toc23951"/>
      <w:r>
        <w:rPr>
          <w:rFonts w:hint="eastAsia" w:ascii="黑体" w:hAnsi="黑体" w:eastAsia="黑体" w:cs="黑体"/>
          <w:color w:val="auto"/>
          <w:highlight w:val="none"/>
        </w:rPr>
        <w:t>第五章  响应文件格式</w:t>
      </w:r>
      <w:bookmarkEnd w:id="70"/>
    </w:p>
    <w:p>
      <w:pPr>
        <w:pStyle w:val="15"/>
        <w:spacing w:line="578" w:lineRule="exact"/>
        <w:rPr>
          <w:rFonts w:ascii="仿宋_GB2312" w:hAnsi="仿宋_GB2312" w:eastAsia="仿宋_GB2312" w:cs="仿宋_GB2312"/>
          <w:color w:val="auto"/>
          <w:sz w:val="32"/>
          <w:szCs w:val="32"/>
          <w:highlight w:val="none"/>
        </w:rPr>
      </w:pPr>
    </w:p>
    <w:p>
      <w:pPr>
        <w:pStyle w:val="15"/>
        <w:spacing w:line="578" w:lineRule="exact"/>
        <w:ind w:firstLine="640" w:firstLineChars="200"/>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一、本章所制响应文件格式，除格式中明确将该格式作为实质性要求的，一律不具有强制性。</w:t>
      </w:r>
    </w:p>
    <w:p>
      <w:pPr>
        <w:pStyle w:val="15"/>
        <w:spacing w:line="578" w:lineRule="exact"/>
        <w:ind w:firstLine="640" w:firstLineChars="200"/>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二、本章所制响应文件格式有关表格中的备注栏，由供应商根据自身响应情况作解释性说明，不作为必填项。</w:t>
      </w:r>
    </w:p>
    <w:p>
      <w:pPr>
        <w:pStyle w:val="15"/>
        <w:spacing w:line="578" w:lineRule="exact"/>
        <w:ind w:firstLine="640" w:firstLineChars="200"/>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三、本章所制响应文件格式中需要填写的相关内容事项，可能会与本采购项目无关，在不改变响应文件原义、不影响本项目采购需求的情况下，供应商可以不予填写，但应当注明。</w:t>
      </w:r>
    </w:p>
    <w:p>
      <w:pPr>
        <w:spacing w:line="578" w:lineRule="exact"/>
        <w:jc w:val="center"/>
        <w:rPr>
          <w:rFonts w:ascii="仿宋_GB2312" w:hAnsi="仿宋_GB2312" w:eastAsia="仿宋_GB2312" w:cs="仿宋_GB2312"/>
          <w:b/>
          <w:color w:val="auto"/>
          <w:highlight w:val="none"/>
        </w:rPr>
      </w:pPr>
    </w:p>
    <w:p>
      <w:pPr>
        <w:spacing w:line="578" w:lineRule="exact"/>
        <w:jc w:val="center"/>
        <w:rPr>
          <w:rFonts w:ascii="仿宋_GB2312" w:hAnsi="仿宋_GB2312" w:eastAsia="仿宋_GB2312" w:cs="仿宋_GB2312"/>
          <w:b/>
          <w:color w:val="auto"/>
          <w:highlight w:val="none"/>
        </w:rPr>
      </w:pPr>
    </w:p>
    <w:p>
      <w:pPr>
        <w:spacing w:line="578" w:lineRule="exact"/>
        <w:jc w:val="center"/>
        <w:rPr>
          <w:rFonts w:ascii="仿宋_GB2312" w:hAnsi="仿宋_GB2312" w:eastAsia="仿宋_GB2312" w:cs="仿宋_GB2312"/>
          <w:b/>
          <w:color w:val="auto"/>
          <w:highlight w:val="none"/>
        </w:rPr>
      </w:pPr>
    </w:p>
    <w:p>
      <w:pPr>
        <w:spacing w:line="578" w:lineRule="exact"/>
        <w:jc w:val="center"/>
        <w:rPr>
          <w:rFonts w:ascii="仿宋_GB2312" w:hAnsi="仿宋_GB2312" w:eastAsia="仿宋_GB2312" w:cs="仿宋_GB2312"/>
          <w:b/>
          <w:color w:val="auto"/>
          <w:highlight w:val="none"/>
        </w:rPr>
      </w:pPr>
    </w:p>
    <w:p>
      <w:pPr>
        <w:spacing w:line="578" w:lineRule="exact"/>
        <w:jc w:val="center"/>
        <w:rPr>
          <w:rFonts w:ascii="仿宋_GB2312" w:hAnsi="仿宋_GB2312" w:eastAsia="仿宋_GB2312" w:cs="仿宋_GB2312"/>
          <w:b/>
          <w:color w:val="auto"/>
          <w:highlight w:val="none"/>
        </w:rPr>
      </w:pPr>
    </w:p>
    <w:p>
      <w:pPr>
        <w:spacing w:line="578" w:lineRule="exact"/>
        <w:jc w:val="center"/>
        <w:rPr>
          <w:rFonts w:ascii="仿宋_GB2312" w:hAnsi="仿宋_GB2312" w:eastAsia="仿宋_GB2312" w:cs="仿宋_GB2312"/>
          <w:b/>
          <w:color w:val="auto"/>
          <w:highlight w:val="none"/>
        </w:rPr>
      </w:pPr>
    </w:p>
    <w:p>
      <w:pPr>
        <w:spacing w:line="578" w:lineRule="exact"/>
        <w:jc w:val="center"/>
        <w:rPr>
          <w:rFonts w:ascii="仿宋_GB2312" w:hAnsi="仿宋_GB2312" w:eastAsia="仿宋_GB2312" w:cs="仿宋_GB2312"/>
          <w:b/>
          <w:color w:val="auto"/>
          <w:highlight w:val="none"/>
        </w:rPr>
      </w:pPr>
    </w:p>
    <w:p>
      <w:pPr>
        <w:spacing w:line="578" w:lineRule="exact"/>
        <w:jc w:val="center"/>
        <w:rPr>
          <w:rFonts w:ascii="仿宋_GB2312" w:hAnsi="仿宋_GB2312" w:eastAsia="仿宋_GB2312" w:cs="仿宋_GB2312"/>
          <w:b/>
          <w:color w:val="auto"/>
          <w:highlight w:val="none"/>
        </w:rPr>
      </w:pPr>
    </w:p>
    <w:p>
      <w:pPr>
        <w:spacing w:line="578" w:lineRule="exact"/>
        <w:jc w:val="center"/>
        <w:rPr>
          <w:rFonts w:ascii="仿宋_GB2312" w:hAnsi="仿宋_GB2312" w:eastAsia="仿宋_GB2312" w:cs="仿宋_GB2312"/>
          <w:b/>
          <w:color w:val="auto"/>
          <w:highlight w:val="none"/>
        </w:rPr>
      </w:pPr>
    </w:p>
    <w:p>
      <w:pPr>
        <w:spacing w:line="578" w:lineRule="exact"/>
        <w:jc w:val="center"/>
        <w:rPr>
          <w:rFonts w:ascii="仿宋_GB2312" w:hAnsi="仿宋_GB2312" w:eastAsia="仿宋_GB2312" w:cs="仿宋_GB2312"/>
          <w:b/>
          <w:color w:val="auto"/>
          <w:highlight w:val="none"/>
        </w:rPr>
      </w:pPr>
    </w:p>
    <w:p>
      <w:pPr>
        <w:spacing w:line="578" w:lineRule="exact"/>
        <w:jc w:val="center"/>
        <w:rPr>
          <w:rFonts w:ascii="仿宋_GB2312" w:hAnsi="仿宋_GB2312" w:eastAsia="仿宋_GB2312" w:cs="仿宋_GB2312"/>
          <w:b/>
          <w:color w:val="auto"/>
          <w:highlight w:val="none"/>
        </w:rPr>
      </w:pPr>
    </w:p>
    <w:p>
      <w:pPr>
        <w:spacing w:line="578" w:lineRule="exact"/>
        <w:jc w:val="center"/>
        <w:rPr>
          <w:rFonts w:ascii="仿宋_GB2312" w:hAnsi="仿宋_GB2312" w:eastAsia="仿宋_GB2312" w:cs="仿宋_GB2312"/>
          <w:b/>
          <w:color w:val="auto"/>
          <w:highlight w:val="none"/>
        </w:rPr>
      </w:pPr>
    </w:p>
    <w:p>
      <w:pPr>
        <w:spacing w:line="578" w:lineRule="exact"/>
        <w:jc w:val="center"/>
        <w:rPr>
          <w:rFonts w:ascii="仿宋_GB2312" w:hAnsi="仿宋_GB2312" w:eastAsia="仿宋_GB2312" w:cs="仿宋_GB2312"/>
          <w:b/>
          <w:color w:val="auto"/>
          <w:highlight w:val="none"/>
        </w:rPr>
      </w:pPr>
    </w:p>
    <w:p>
      <w:pPr>
        <w:spacing w:line="578" w:lineRule="exact"/>
        <w:jc w:val="center"/>
        <w:outlineLvl w:val="1"/>
        <w:rPr>
          <w:rFonts w:ascii="仿宋_GB2312" w:hAnsi="仿宋_GB2312" w:eastAsia="仿宋_GB2312" w:cs="仿宋_GB2312"/>
          <w:b/>
          <w:color w:val="auto"/>
          <w:highlight w:val="none"/>
        </w:rPr>
        <w:sectPr>
          <w:footerReference r:id="rId3" w:type="default"/>
          <w:pgSz w:w="11906" w:h="16838"/>
          <w:pgMar w:top="1440" w:right="1800" w:bottom="1440" w:left="1800" w:header="851" w:footer="992" w:gutter="0"/>
          <w:pgNumType w:fmt="decimal" w:start="1"/>
          <w:cols w:space="720" w:num="1"/>
          <w:docGrid w:type="lines" w:linePitch="312" w:charSpace="0"/>
        </w:sectPr>
      </w:pPr>
    </w:p>
    <w:p>
      <w:pPr>
        <w:spacing w:line="578" w:lineRule="exact"/>
        <w:jc w:val="center"/>
        <w:outlineLvl w:val="1"/>
        <w:rPr>
          <w:rFonts w:ascii="仿宋_GB2312" w:hAnsi="仿宋_GB2312" w:eastAsia="仿宋_GB2312" w:cs="仿宋_GB2312"/>
          <w:b/>
          <w:color w:val="auto"/>
          <w:highlight w:val="none"/>
        </w:rPr>
      </w:pPr>
      <w:r>
        <w:rPr>
          <w:rFonts w:hint="eastAsia" w:ascii="仿宋_GB2312" w:hAnsi="仿宋_GB2312" w:eastAsia="仿宋_GB2312" w:cs="仿宋_GB2312"/>
          <w:b/>
          <w:color w:val="auto"/>
          <w:highlight w:val="none"/>
        </w:rPr>
        <w:t>第一部分     “资格性响应文件”格式</w:t>
      </w:r>
    </w:p>
    <w:p>
      <w:pPr>
        <w:spacing w:line="578" w:lineRule="exact"/>
        <w:rPr>
          <w:rFonts w:ascii="仿宋_GB2312" w:hAnsi="仿宋_GB2312" w:eastAsia="仿宋_GB2312" w:cs="仿宋_GB2312"/>
          <w:b/>
          <w:color w:val="auto"/>
          <w:highlight w:val="none"/>
        </w:rPr>
      </w:pPr>
      <w:r>
        <w:rPr>
          <w:rFonts w:hint="eastAsia" w:ascii="仿宋_GB2312" w:hAnsi="仿宋_GB2312" w:eastAsia="仿宋_GB2312" w:cs="仿宋_GB2312"/>
          <w:b/>
          <w:color w:val="auto"/>
          <w:highlight w:val="none"/>
        </w:rPr>
        <w:t>格式1-1</w:t>
      </w:r>
    </w:p>
    <w:p>
      <w:pPr>
        <w:spacing w:line="578" w:lineRule="exact"/>
        <w:jc w:val="center"/>
        <w:rPr>
          <w:rFonts w:ascii="仿宋_GB2312" w:hAnsi="仿宋_GB2312" w:eastAsia="仿宋_GB2312" w:cs="仿宋_GB2312"/>
          <w:b/>
          <w:color w:val="auto"/>
          <w:highlight w:val="none"/>
        </w:rPr>
      </w:pPr>
    </w:p>
    <w:p>
      <w:pPr>
        <w:spacing w:line="578" w:lineRule="exact"/>
        <w:rPr>
          <w:rFonts w:ascii="仿宋_GB2312" w:hAnsi="仿宋_GB2312" w:eastAsia="仿宋_GB2312" w:cs="仿宋_GB2312"/>
          <w:b/>
          <w:color w:val="auto"/>
          <w:highlight w:val="none"/>
        </w:rPr>
      </w:pPr>
    </w:p>
    <w:p>
      <w:pPr>
        <w:spacing w:line="578" w:lineRule="exact"/>
        <w:rPr>
          <w:rFonts w:ascii="仿宋_GB2312" w:hAnsi="仿宋_GB2312" w:eastAsia="仿宋_GB2312" w:cs="仿宋_GB2312"/>
          <w:b/>
          <w:color w:val="auto"/>
          <w:highlight w:val="none"/>
        </w:rPr>
      </w:pPr>
    </w:p>
    <w:p>
      <w:pPr>
        <w:spacing w:line="578" w:lineRule="exact"/>
        <w:rPr>
          <w:rFonts w:ascii="仿宋_GB2312" w:hAnsi="仿宋_GB2312" w:eastAsia="仿宋_GB2312" w:cs="仿宋_GB2312"/>
          <w:b/>
          <w:color w:val="auto"/>
          <w:highlight w:val="none"/>
        </w:rPr>
      </w:pPr>
    </w:p>
    <w:p>
      <w:pPr>
        <w:spacing w:line="578" w:lineRule="exact"/>
        <w:jc w:val="center"/>
        <w:rPr>
          <w:rFonts w:ascii="仿宋_GB2312" w:hAnsi="仿宋_GB2312" w:eastAsia="仿宋_GB2312" w:cs="仿宋_GB2312"/>
          <w:b/>
          <w:color w:val="auto"/>
          <w:highlight w:val="none"/>
        </w:rPr>
      </w:pPr>
      <w:r>
        <w:rPr>
          <w:rFonts w:hint="eastAsia" w:ascii="仿宋_GB2312" w:hAnsi="仿宋_GB2312" w:eastAsia="仿宋_GB2312" w:cs="仿宋_GB2312"/>
          <w:b/>
          <w:color w:val="auto"/>
          <w:highlight w:val="none"/>
        </w:rPr>
        <w:t>资格性响应文件</w:t>
      </w:r>
    </w:p>
    <w:p>
      <w:pPr>
        <w:spacing w:line="578" w:lineRule="exact"/>
        <w:rPr>
          <w:rFonts w:ascii="仿宋_GB2312" w:hAnsi="仿宋_GB2312" w:eastAsia="仿宋_GB2312" w:cs="仿宋_GB2312"/>
          <w:b/>
          <w:color w:val="auto"/>
          <w:highlight w:val="none"/>
        </w:rPr>
      </w:pPr>
    </w:p>
    <w:p>
      <w:pPr>
        <w:spacing w:line="578" w:lineRule="exact"/>
        <w:rPr>
          <w:rFonts w:ascii="仿宋_GB2312" w:hAnsi="仿宋_GB2312" w:eastAsia="仿宋_GB2312" w:cs="仿宋_GB2312"/>
          <w:b/>
          <w:color w:val="auto"/>
          <w:highlight w:val="none"/>
        </w:rPr>
      </w:pPr>
    </w:p>
    <w:p>
      <w:pPr>
        <w:spacing w:line="578" w:lineRule="exact"/>
        <w:rPr>
          <w:rFonts w:ascii="仿宋_GB2312" w:hAnsi="仿宋_GB2312" w:eastAsia="仿宋_GB2312" w:cs="仿宋_GB2312"/>
          <w:b/>
          <w:color w:val="auto"/>
          <w:highlight w:val="none"/>
        </w:rPr>
      </w:pPr>
    </w:p>
    <w:p>
      <w:pPr>
        <w:spacing w:line="578" w:lineRule="exact"/>
        <w:rPr>
          <w:rFonts w:ascii="仿宋_GB2312" w:hAnsi="仿宋_GB2312" w:eastAsia="仿宋_GB2312" w:cs="仿宋_GB2312"/>
          <w:b/>
          <w:color w:val="auto"/>
          <w:highlight w:val="none"/>
        </w:rPr>
      </w:pPr>
    </w:p>
    <w:p>
      <w:pPr>
        <w:spacing w:line="578" w:lineRule="exact"/>
        <w:rPr>
          <w:rFonts w:ascii="仿宋_GB2312" w:hAnsi="仿宋_GB2312" w:eastAsia="仿宋_GB2312" w:cs="仿宋_GB2312"/>
          <w:b/>
          <w:color w:val="auto"/>
          <w:highlight w:val="none"/>
        </w:rPr>
      </w:pPr>
    </w:p>
    <w:p>
      <w:pPr>
        <w:spacing w:line="578" w:lineRule="exact"/>
        <w:ind w:firstLine="642" w:firstLineChars="200"/>
        <w:jc w:val="left"/>
        <w:rPr>
          <w:rFonts w:ascii="仿宋_GB2312" w:hAnsi="仿宋_GB2312" w:eastAsia="仿宋_GB2312" w:cs="仿宋_GB2312"/>
          <w:b/>
          <w:color w:val="auto"/>
          <w:highlight w:val="none"/>
        </w:rPr>
      </w:pPr>
      <w:r>
        <w:rPr>
          <w:rFonts w:hint="eastAsia" w:ascii="仿宋_GB2312" w:hAnsi="仿宋_GB2312" w:eastAsia="仿宋_GB2312" w:cs="仿宋_GB2312"/>
          <w:b/>
          <w:color w:val="auto"/>
          <w:highlight w:val="none"/>
        </w:rPr>
        <w:t>供 应 商名称：</w:t>
      </w:r>
    </w:p>
    <w:p>
      <w:pPr>
        <w:spacing w:line="578" w:lineRule="exact"/>
        <w:ind w:firstLine="642" w:firstLineChars="200"/>
        <w:jc w:val="left"/>
        <w:rPr>
          <w:rFonts w:ascii="仿宋_GB2312" w:hAnsi="仿宋_GB2312" w:eastAsia="仿宋_GB2312" w:cs="仿宋_GB2312"/>
          <w:b/>
          <w:color w:val="auto"/>
          <w:highlight w:val="none"/>
          <w:u w:val="single"/>
        </w:rPr>
      </w:pPr>
      <w:r>
        <w:rPr>
          <w:rFonts w:hint="eastAsia" w:ascii="仿宋_GB2312" w:hAnsi="仿宋_GB2312" w:eastAsia="仿宋_GB2312" w:cs="仿宋_GB2312"/>
          <w:b/>
          <w:color w:val="auto"/>
          <w:highlight w:val="none"/>
        </w:rPr>
        <w:t>项 目 名 称：</w:t>
      </w:r>
    </w:p>
    <w:p>
      <w:pPr>
        <w:spacing w:line="578" w:lineRule="exact"/>
        <w:ind w:firstLine="642" w:firstLineChars="200"/>
        <w:jc w:val="left"/>
        <w:rPr>
          <w:rFonts w:ascii="仿宋_GB2312" w:hAnsi="仿宋_GB2312" w:eastAsia="仿宋_GB2312" w:cs="仿宋_GB2312"/>
          <w:b/>
          <w:color w:val="auto"/>
          <w:highlight w:val="none"/>
        </w:rPr>
      </w:pPr>
    </w:p>
    <w:p>
      <w:pPr>
        <w:pStyle w:val="4"/>
        <w:rPr>
          <w:color w:val="auto"/>
          <w:highlight w:val="none"/>
        </w:rPr>
      </w:pPr>
    </w:p>
    <w:p>
      <w:pPr>
        <w:spacing w:line="578" w:lineRule="exact"/>
        <w:jc w:val="center"/>
        <w:rPr>
          <w:rFonts w:ascii="仿宋_GB2312" w:hAnsi="仿宋_GB2312" w:eastAsia="仿宋_GB2312" w:cs="仿宋_GB2312"/>
          <w:b/>
          <w:color w:val="auto"/>
          <w:highlight w:val="none"/>
        </w:rPr>
      </w:pPr>
    </w:p>
    <w:p>
      <w:pPr>
        <w:widowControl/>
        <w:spacing w:line="578" w:lineRule="exact"/>
        <w:ind w:firstLine="629" w:firstLineChars="196"/>
        <w:jc w:val="center"/>
        <w:rPr>
          <w:rFonts w:ascii="仿宋_GB2312" w:hAnsi="仿宋_GB2312" w:eastAsia="仿宋_GB2312" w:cs="仿宋_GB2312"/>
          <w:b/>
          <w:color w:val="auto"/>
          <w:highlight w:val="none"/>
        </w:rPr>
      </w:pPr>
      <w:r>
        <w:rPr>
          <w:rFonts w:hint="eastAsia" w:ascii="仿宋_GB2312" w:hAnsi="仿宋_GB2312" w:eastAsia="仿宋_GB2312" w:cs="仿宋_GB2312"/>
          <w:b/>
          <w:color w:val="auto"/>
          <w:highlight w:val="none"/>
        </w:rPr>
        <w:t>XX年XX月XX日</w:t>
      </w:r>
    </w:p>
    <w:p>
      <w:pPr>
        <w:widowControl/>
        <w:spacing w:line="578" w:lineRule="exact"/>
        <w:ind w:firstLine="629" w:firstLineChars="196"/>
        <w:jc w:val="left"/>
        <w:rPr>
          <w:rFonts w:ascii="仿宋_GB2312" w:hAnsi="仿宋_GB2312" w:eastAsia="仿宋_GB2312" w:cs="仿宋_GB2312"/>
          <w:b/>
          <w:color w:val="auto"/>
          <w:highlight w:val="none"/>
        </w:rPr>
        <w:sectPr>
          <w:pgSz w:w="11906" w:h="16838"/>
          <w:pgMar w:top="1440" w:right="1800" w:bottom="1440" w:left="1800" w:header="851" w:footer="992" w:gutter="0"/>
          <w:pgNumType w:fmt="decimal"/>
          <w:cols w:space="720" w:num="1"/>
          <w:docGrid w:type="lines" w:linePitch="312" w:charSpace="0"/>
        </w:sectPr>
      </w:pPr>
    </w:p>
    <w:p>
      <w:pPr>
        <w:widowControl/>
        <w:spacing w:line="578" w:lineRule="exact"/>
        <w:ind w:firstLine="629" w:firstLineChars="196"/>
        <w:jc w:val="left"/>
        <w:rPr>
          <w:rFonts w:ascii="仿宋_GB2312" w:hAnsi="仿宋_GB2312" w:eastAsia="仿宋_GB2312" w:cs="仿宋_GB2312"/>
          <w:b/>
          <w:color w:val="auto"/>
          <w:highlight w:val="none"/>
        </w:rPr>
      </w:pPr>
      <w:r>
        <w:rPr>
          <w:rFonts w:hint="eastAsia" w:ascii="仿宋_GB2312" w:hAnsi="仿宋_GB2312" w:eastAsia="仿宋_GB2312" w:cs="仿宋_GB2312"/>
          <w:b/>
          <w:color w:val="auto"/>
          <w:highlight w:val="none"/>
        </w:rPr>
        <w:t>格式1-2</w:t>
      </w:r>
    </w:p>
    <w:p>
      <w:pPr>
        <w:widowControl/>
        <w:spacing w:line="578" w:lineRule="exact"/>
        <w:ind w:firstLine="629" w:firstLineChars="196"/>
        <w:jc w:val="center"/>
        <w:rPr>
          <w:rFonts w:ascii="仿宋_GB2312" w:hAnsi="仿宋_GB2312" w:eastAsia="仿宋_GB2312" w:cs="仿宋_GB2312"/>
          <w:b/>
          <w:color w:val="auto"/>
          <w:highlight w:val="none"/>
        </w:rPr>
      </w:pPr>
      <w:r>
        <w:rPr>
          <w:rFonts w:hint="eastAsia" w:ascii="仿宋_GB2312" w:hAnsi="仿宋_GB2312" w:eastAsia="仿宋_GB2312" w:cs="仿宋_GB2312"/>
          <w:b/>
          <w:color w:val="auto"/>
          <w:highlight w:val="none"/>
        </w:rPr>
        <w:t>法定代表人身份证明</w:t>
      </w:r>
    </w:p>
    <w:p>
      <w:pPr>
        <w:widowControl/>
        <w:spacing w:line="578" w:lineRule="exact"/>
        <w:jc w:val="left"/>
        <w:rPr>
          <w:rFonts w:ascii="仿宋_GB2312" w:hAnsi="仿宋_GB2312" w:eastAsia="仿宋_GB2312" w:cs="仿宋_GB2312"/>
          <w:color w:val="auto"/>
          <w:highlight w:val="none"/>
        </w:rPr>
      </w:pPr>
    </w:p>
    <w:p>
      <w:pPr>
        <w:widowControl/>
        <w:spacing w:line="578" w:lineRule="exact"/>
        <w:ind w:firstLine="627" w:firstLineChars="196"/>
        <w:jc w:val="left"/>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达州市投资有限公司：</w:t>
      </w:r>
    </w:p>
    <w:p>
      <w:pPr>
        <w:widowControl/>
        <w:spacing w:line="578" w:lineRule="exact"/>
        <w:ind w:firstLine="627" w:firstLineChars="196"/>
        <w:jc w:val="left"/>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兹声明：  （姓名） 系    （投标人名称）   的法定代表人（职务      ），为我方“      项目名称    ”项目（     项目编号    ）谈判采购活动的合法代表，以我方名义全权处理该项目有关谈判、签订合同以及执行合同等一切事宜。</w:t>
      </w:r>
    </w:p>
    <w:p>
      <w:pPr>
        <w:widowControl/>
        <w:spacing w:line="578" w:lineRule="exact"/>
        <w:ind w:firstLine="627" w:firstLineChars="196"/>
        <w:jc w:val="left"/>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特此声明。</w:t>
      </w:r>
    </w:p>
    <w:p>
      <w:pPr>
        <w:widowControl/>
        <w:spacing w:line="578" w:lineRule="exact"/>
        <w:ind w:firstLine="627" w:firstLineChars="196"/>
        <w:jc w:val="left"/>
        <w:rPr>
          <w:rFonts w:ascii="仿宋_GB2312" w:hAnsi="仿宋_GB2312" w:eastAsia="仿宋_GB2312" w:cs="仿宋_GB2312"/>
          <w:color w:val="auto"/>
          <w:highlight w:val="none"/>
        </w:rPr>
      </w:pPr>
    </w:p>
    <w:p>
      <w:pPr>
        <w:widowControl/>
        <w:spacing w:line="578" w:lineRule="exact"/>
        <w:ind w:firstLine="627" w:firstLineChars="196"/>
        <w:jc w:val="right"/>
        <w:rPr>
          <w:rFonts w:ascii="仿宋_GB2312" w:hAnsi="仿宋_GB2312" w:eastAsia="仿宋_GB2312" w:cs="仿宋_GB2312"/>
          <w:color w:val="auto"/>
          <w:highlight w:val="none"/>
        </w:rPr>
      </w:pPr>
    </w:p>
    <w:p>
      <w:pPr>
        <w:widowControl/>
        <w:spacing w:line="578" w:lineRule="exact"/>
        <w:ind w:firstLine="627" w:firstLineChars="196"/>
        <w:jc w:val="left"/>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法定代表人（签字或盖法定代表人章）：</w:t>
      </w:r>
    </w:p>
    <w:p>
      <w:pPr>
        <w:widowControl/>
        <w:spacing w:line="578" w:lineRule="exact"/>
        <w:ind w:firstLine="627" w:firstLineChars="196"/>
        <w:jc w:val="left"/>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供应商名称：         （盖章）</w:t>
      </w:r>
    </w:p>
    <w:p>
      <w:pPr>
        <w:widowControl/>
        <w:spacing w:line="578" w:lineRule="exact"/>
        <w:ind w:firstLine="627" w:firstLineChars="196"/>
        <w:jc w:val="left"/>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日    期：      年      月     日</w:t>
      </w:r>
    </w:p>
    <w:p>
      <w:pPr>
        <w:widowControl/>
        <w:spacing w:line="578" w:lineRule="exact"/>
        <w:ind w:firstLine="627" w:firstLineChars="196"/>
        <w:jc w:val="right"/>
        <w:rPr>
          <w:rFonts w:ascii="仿宋_GB2312" w:hAnsi="仿宋_GB2312" w:eastAsia="仿宋_GB2312" w:cs="仿宋_GB2312"/>
          <w:color w:val="auto"/>
          <w:highlight w:val="none"/>
        </w:rPr>
      </w:pPr>
    </w:p>
    <w:p>
      <w:pPr>
        <w:widowControl/>
        <w:spacing w:line="578" w:lineRule="exact"/>
        <w:ind w:firstLine="627" w:firstLineChars="196"/>
        <w:jc w:val="left"/>
        <w:rPr>
          <w:rFonts w:ascii="仿宋_GB2312" w:hAnsi="仿宋_GB2312" w:eastAsia="仿宋_GB2312" w:cs="仿宋_GB2312"/>
          <w:color w:val="auto"/>
          <w:highlight w:val="none"/>
        </w:rPr>
      </w:pPr>
    </w:p>
    <w:p>
      <w:pPr>
        <w:widowControl/>
        <w:spacing w:line="578" w:lineRule="exact"/>
        <w:ind w:firstLine="627" w:firstLineChars="196"/>
        <w:jc w:val="left"/>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注：1、必须附法定代表人身份证（复印件）</w:t>
      </w:r>
    </w:p>
    <w:p>
      <w:pPr>
        <w:widowControl/>
        <w:spacing w:line="578" w:lineRule="exact"/>
        <w:ind w:left="1830" w:leftChars="222" w:hanging="1120" w:hangingChars="350"/>
        <w:jc w:val="left"/>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 xml:space="preserve">    2、投标人属于银行、保险、石油石化、电力、电信等有行业特殊情况的，提供分支机构负责人身份证明，并附分支机构负责人身份证（复印件）。</w:t>
      </w:r>
    </w:p>
    <w:p>
      <w:pPr>
        <w:spacing w:line="578" w:lineRule="exact"/>
        <w:jc w:val="center"/>
        <w:rPr>
          <w:rFonts w:ascii="仿宋_GB2312" w:hAnsi="仿宋_GB2312" w:eastAsia="仿宋_GB2312" w:cs="仿宋_GB2312"/>
          <w:b/>
          <w:color w:val="auto"/>
          <w:highlight w:val="none"/>
        </w:rPr>
      </w:pPr>
    </w:p>
    <w:p>
      <w:pPr>
        <w:spacing w:line="578" w:lineRule="exact"/>
        <w:jc w:val="left"/>
        <w:rPr>
          <w:rFonts w:ascii="仿宋_GB2312" w:hAnsi="仿宋_GB2312" w:eastAsia="仿宋_GB2312" w:cs="仿宋_GB2312"/>
          <w:b/>
          <w:color w:val="auto"/>
          <w:highlight w:val="none"/>
        </w:rPr>
        <w:sectPr>
          <w:pgSz w:w="11906" w:h="16838"/>
          <w:pgMar w:top="1440" w:right="1800" w:bottom="1440" w:left="1800" w:header="851" w:footer="992" w:gutter="0"/>
          <w:pgNumType w:fmt="decimal"/>
          <w:cols w:space="720" w:num="1"/>
          <w:docGrid w:type="lines" w:linePitch="312" w:charSpace="0"/>
        </w:sectPr>
      </w:pPr>
    </w:p>
    <w:p>
      <w:pPr>
        <w:spacing w:line="578" w:lineRule="exact"/>
        <w:jc w:val="left"/>
        <w:rPr>
          <w:rFonts w:ascii="仿宋_GB2312" w:hAnsi="仿宋_GB2312" w:eastAsia="仿宋_GB2312" w:cs="仿宋_GB2312"/>
          <w:b/>
          <w:color w:val="auto"/>
          <w:highlight w:val="none"/>
        </w:rPr>
      </w:pPr>
      <w:r>
        <w:rPr>
          <w:rFonts w:hint="eastAsia" w:ascii="仿宋_GB2312" w:hAnsi="仿宋_GB2312" w:eastAsia="仿宋_GB2312" w:cs="仿宋_GB2312"/>
          <w:b/>
          <w:color w:val="auto"/>
          <w:highlight w:val="none"/>
        </w:rPr>
        <w:t>格式1-3</w:t>
      </w:r>
    </w:p>
    <w:p>
      <w:pPr>
        <w:spacing w:line="578" w:lineRule="exact"/>
        <w:jc w:val="center"/>
        <w:rPr>
          <w:rFonts w:ascii="仿宋_GB2312" w:hAnsi="仿宋_GB2312" w:eastAsia="仿宋_GB2312" w:cs="仿宋_GB2312"/>
          <w:b/>
          <w:color w:val="auto"/>
          <w:highlight w:val="none"/>
        </w:rPr>
      </w:pPr>
      <w:r>
        <w:rPr>
          <w:rFonts w:hint="eastAsia" w:ascii="仿宋_GB2312" w:hAnsi="仿宋_GB2312" w:eastAsia="仿宋_GB2312" w:cs="仿宋_GB2312"/>
          <w:b/>
          <w:color w:val="auto"/>
          <w:highlight w:val="none"/>
        </w:rPr>
        <w:t>法定代表人授权书</w:t>
      </w:r>
    </w:p>
    <w:p>
      <w:pPr>
        <w:spacing w:line="578" w:lineRule="exact"/>
        <w:jc w:val="center"/>
        <w:rPr>
          <w:rFonts w:ascii="仿宋_GB2312" w:hAnsi="仿宋_GB2312" w:eastAsia="仿宋_GB2312" w:cs="仿宋_GB2312"/>
          <w:b/>
          <w:color w:val="auto"/>
          <w:highlight w:val="none"/>
        </w:rPr>
      </w:pPr>
    </w:p>
    <w:p>
      <w:pPr>
        <w:spacing w:line="578" w:lineRule="exact"/>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达州市投资有限公司：</w:t>
      </w:r>
    </w:p>
    <w:p>
      <w:pPr>
        <w:spacing w:line="578" w:lineRule="exact"/>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本授权声明：XXX（单位名称）,XXX（法定代表人姓名、职务）授权XXX</w:t>
      </w:r>
      <w:r>
        <w:rPr>
          <w:rFonts w:hint="eastAsia" w:ascii="仿宋_GB2312" w:hAnsi="仿宋_GB2312" w:eastAsia="仿宋_GB2312" w:cs="仿宋_GB2312"/>
          <w:color w:val="auto"/>
          <w:highlight w:val="none"/>
          <w:u w:val="single"/>
        </w:rPr>
        <w:t xml:space="preserve">                   </w:t>
      </w:r>
      <w:r>
        <w:rPr>
          <w:rFonts w:hint="eastAsia" w:ascii="仿宋_GB2312" w:hAnsi="仿宋_GB2312" w:eastAsia="仿宋_GB2312" w:cs="仿宋_GB2312"/>
          <w:color w:val="auto"/>
          <w:highlight w:val="none"/>
        </w:rPr>
        <w:t>（被授权人姓名、职务）为我方参加XXX项目（采购编号：XXX）谈判采购活动的合法代表，以我方名义全权处理该项目有关谈判、报价、签订合同以及执行合同等一切事宜。</w:t>
      </w:r>
    </w:p>
    <w:p>
      <w:pPr>
        <w:spacing w:line="578" w:lineRule="exact"/>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特此声明。</w:t>
      </w:r>
    </w:p>
    <w:p>
      <w:pPr>
        <w:spacing w:line="578" w:lineRule="exact"/>
        <w:ind w:firstLine="640" w:firstLineChars="200"/>
        <w:rPr>
          <w:rFonts w:ascii="仿宋_GB2312" w:hAnsi="仿宋_GB2312" w:eastAsia="仿宋_GB2312" w:cs="仿宋_GB2312"/>
          <w:color w:val="auto"/>
          <w:highlight w:val="none"/>
        </w:rPr>
      </w:pPr>
    </w:p>
    <w:p>
      <w:pPr>
        <w:spacing w:line="578" w:lineRule="exact"/>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供应商名称：XXX（盖单位公章）</w:t>
      </w:r>
    </w:p>
    <w:p>
      <w:pPr>
        <w:spacing w:line="578" w:lineRule="exact"/>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法定代表人（签字或盖章）：XXX</w:t>
      </w:r>
    </w:p>
    <w:p>
      <w:pPr>
        <w:spacing w:line="578" w:lineRule="exact"/>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职    务：XXX</w:t>
      </w:r>
    </w:p>
    <w:p>
      <w:pPr>
        <w:spacing w:line="578" w:lineRule="exact"/>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被授权人签字：XXX</w:t>
      </w:r>
    </w:p>
    <w:p>
      <w:pPr>
        <w:spacing w:line="578" w:lineRule="exact"/>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职    务：XXX</w:t>
      </w:r>
    </w:p>
    <w:p>
      <w:pPr>
        <w:spacing w:line="578" w:lineRule="exact"/>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日    期：XXX年XXX月XXX日</w:t>
      </w:r>
    </w:p>
    <w:p>
      <w:pPr>
        <w:widowControl/>
        <w:spacing w:line="578" w:lineRule="exact"/>
        <w:jc w:val="left"/>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注：1、必须附法定代表人身份证（复印件）</w:t>
      </w:r>
    </w:p>
    <w:p>
      <w:pPr>
        <w:widowControl/>
        <w:spacing w:line="578" w:lineRule="exact"/>
        <w:jc w:val="left"/>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 xml:space="preserve">    2、投标供应商属于银行、保险、石油石化、电力、电信等行业特殊情况的，只需提供分支机构负责人身份证明（原件），并附分支机构负责人身份证（复印件），可不提供法定代表人身份证。</w:t>
      </w:r>
    </w:p>
    <w:p>
      <w:pPr>
        <w:widowControl/>
        <w:spacing w:line="578" w:lineRule="exact"/>
        <w:jc w:val="left"/>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 xml:space="preserve">    3、必须附授权代表身份证（复印件）</w:t>
      </w:r>
    </w:p>
    <w:p>
      <w:pPr>
        <w:spacing w:line="578" w:lineRule="exact"/>
        <w:ind w:firstLine="642" w:firstLineChars="200"/>
        <w:rPr>
          <w:rFonts w:ascii="仿宋_GB2312" w:hAnsi="仿宋_GB2312" w:eastAsia="仿宋_GB2312" w:cs="仿宋_GB2312"/>
          <w:b/>
          <w:color w:val="auto"/>
          <w:highlight w:val="none"/>
        </w:rPr>
        <w:sectPr>
          <w:pgSz w:w="11906" w:h="16838"/>
          <w:pgMar w:top="1440" w:right="1800" w:bottom="1440" w:left="1800" w:header="851" w:footer="992" w:gutter="0"/>
          <w:pgNumType w:fmt="decimal"/>
          <w:cols w:space="720" w:num="1"/>
          <w:docGrid w:type="lines" w:linePitch="312" w:charSpace="0"/>
        </w:sectPr>
      </w:pPr>
    </w:p>
    <w:p>
      <w:pPr>
        <w:spacing w:line="578" w:lineRule="exact"/>
        <w:ind w:firstLine="642" w:firstLineChars="200"/>
        <w:rPr>
          <w:rFonts w:ascii="仿宋_GB2312" w:hAnsi="仿宋_GB2312" w:eastAsia="仿宋_GB2312" w:cs="仿宋_GB2312"/>
          <w:b/>
          <w:color w:val="auto"/>
          <w:highlight w:val="none"/>
        </w:rPr>
      </w:pPr>
      <w:r>
        <w:rPr>
          <w:rFonts w:hint="eastAsia" w:ascii="仿宋_GB2312" w:hAnsi="仿宋_GB2312" w:eastAsia="仿宋_GB2312" w:cs="仿宋_GB2312"/>
          <w:b/>
          <w:color w:val="auto"/>
          <w:highlight w:val="none"/>
        </w:rPr>
        <w:t>格式1-4</w:t>
      </w:r>
    </w:p>
    <w:p>
      <w:pPr>
        <w:spacing w:line="578" w:lineRule="exact"/>
        <w:ind w:firstLine="642" w:firstLineChars="200"/>
        <w:jc w:val="center"/>
        <w:rPr>
          <w:rFonts w:ascii="仿宋_GB2312" w:hAnsi="仿宋_GB2312" w:eastAsia="仿宋_GB2312" w:cs="仿宋_GB2312"/>
          <w:b/>
          <w:color w:val="auto"/>
          <w:highlight w:val="none"/>
        </w:rPr>
      </w:pPr>
      <w:r>
        <w:rPr>
          <w:rFonts w:hint="eastAsia" w:ascii="仿宋_GB2312" w:hAnsi="仿宋_GB2312" w:eastAsia="仿宋_GB2312" w:cs="仿宋_GB2312"/>
          <w:b/>
          <w:color w:val="auto"/>
          <w:highlight w:val="none"/>
        </w:rPr>
        <w:t>承诺函</w:t>
      </w:r>
    </w:p>
    <w:p>
      <w:pPr>
        <w:spacing w:line="578" w:lineRule="exact"/>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达州市投资有限公司：</w:t>
      </w:r>
    </w:p>
    <w:p>
      <w:pPr>
        <w:spacing w:line="578" w:lineRule="exact"/>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我公司作为本次采购项目的供应商，根据谈判文件要求，现郑重承诺如下：</w:t>
      </w:r>
    </w:p>
    <w:p>
      <w:pPr>
        <w:spacing w:line="578" w:lineRule="exact"/>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一、具备《中华人民共和国政府采购法》第二十二条第一款和本项目规定的条件：</w:t>
      </w:r>
    </w:p>
    <w:p>
      <w:pPr>
        <w:spacing w:line="578" w:lineRule="exact"/>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（一）具有独立承担民事责任的能力；</w:t>
      </w:r>
    </w:p>
    <w:p>
      <w:pPr>
        <w:spacing w:line="578" w:lineRule="exact"/>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（二）具有良好的商业信誉和健全的财务会计制度；</w:t>
      </w:r>
    </w:p>
    <w:p>
      <w:pPr>
        <w:spacing w:line="578" w:lineRule="exact"/>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（三）具有履行合同所必需的设备和专业技术能力；</w:t>
      </w:r>
    </w:p>
    <w:p>
      <w:pPr>
        <w:spacing w:line="578" w:lineRule="exact"/>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（四）有依法缴纳税收和社会保障资金的良好记录；</w:t>
      </w:r>
    </w:p>
    <w:p>
      <w:pPr>
        <w:spacing w:line="578" w:lineRule="exact"/>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（五）参加采购活动前三年内，在经营活动中没有重大违法记录；</w:t>
      </w:r>
    </w:p>
    <w:p>
      <w:pPr>
        <w:spacing w:line="578" w:lineRule="exact"/>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（六）法律、行政法规规定的其他条件；</w:t>
      </w:r>
    </w:p>
    <w:p>
      <w:pPr>
        <w:spacing w:line="578" w:lineRule="exact"/>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（七）根据采购项目提出的特殊条件。</w:t>
      </w:r>
    </w:p>
    <w:p>
      <w:pPr>
        <w:spacing w:line="578" w:lineRule="exact"/>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二、完全接受和满足本项目谈判文件中规定的实质性要求，如对谈判文件有异议，已经在递交响应文件截止时间届满前依法进行维权救济，不存在对谈判文件有异议的同时又参加谈判以求侥幸成交或者为实现其他非法目的的行为。</w:t>
      </w:r>
    </w:p>
    <w:p>
      <w:pPr>
        <w:spacing w:line="578" w:lineRule="exact"/>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三、在参加本次采购活动中，不存在与单位负责人为同一人或者存在直接控股、管理关系的其他供应商参与同一合同项下的采购活动的行为。</w:t>
      </w:r>
    </w:p>
    <w:p>
      <w:pPr>
        <w:spacing w:line="578" w:lineRule="exact"/>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四、在参加本次采购活动中，不存在和其他供应商在同一合同项下的采购项目中，同时委托同一个自然人、同一家庭的人员、同一单位的人员作为代理人的行为。</w:t>
      </w:r>
    </w:p>
    <w:p>
      <w:pPr>
        <w:spacing w:line="578" w:lineRule="exact"/>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五、如果有《四川省公共资源交易领域严重失信联合惩戒实施办法》(川发改信用规〔2019〕405号)和《关于对政府采购领域严重违法失信主体开展联合惩戒的合作备忘录》（发改财金〔2018〕1614号）规定的失信行为，将在响应文件中全面如实反映。</w:t>
      </w:r>
    </w:p>
    <w:p>
      <w:pPr>
        <w:spacing w:line="578" w:lineRule="exact"/>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六、响应文件中提供的任何资料和技术、服务、商务等响应承诺情况都是真实的、有效的、合法的。</w:t>
      </w:r>
    </w:p>
    <w:p>
      <w:pPr>
        <w:spacing w:line="578" w:lineRule="exact"/>
        <w:ind w:firstLine="640" w:firstLineChars="200"/>
        <w:rPr>
          <w:rFonts w:ascii="仿宋_GB2312" w:hAnsi="仿宋_GB2312" w:eastAsia="仿宋_GB2312" w:cs="仿宋_GB2312"/>
          <w:color w:val="auto"/>
          <w:highlight w:val="none"/>
        </w:rPr>
      </w:pPr>
    </w:p>
    <w:p>
      <w:pPr>
        <w:spacing w:line="578" w:lineRule="exact"/>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本公司对上述承诺的内容事项真实性负责。如经查实上述承诺的内容事项存在虚假，我公司愿意接受以提供虚假材料谋取成交的法律责任。</w:t>
      </w:r>
    </w:p>
    <w:p>
      <w:pPr>
        <w:spacing w:line="578" w:lineRule="exact"/>
        <w:ind w:firstLine="640" w:firstLineChars="200"/>
        <w:rPr>
          <w:rFonts w:ascii="仿宋_GB2312" w:hAnsi="仿宋_GB2312" w:eastAsia="仿宋_GB2312" w:cs="仿宋_GB2312"/>
          <w:color w:val="auto"/>
          <w:highlight w:val="none"/>
        </w:rPr>
      </w:pPr>
    </w:p>
    <w:p>
      <w:pPr>
        <w:spacing w:line="578" w:lineRule="exact"/>
        <w:ind w:firstLine="640" w:firstLineChars="200"/>
        <w:rPr>
          <w:rFonts w:ascii="仿宋_GB2312" w:hAnsi="仿宋_GB2312" w:eastAsia="仿宋_GB2312" w:cs="仿宋_GB2312"/>
          <w:color w:val="auto"/>
          <w:highlight w:val="none"/>
        </w:rPr>
      </w:pPr>
    </w:p>
    <w:p>
      <w:pPr>
        <w:spacing w:line="578" w:lineRule="exact"/>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法定代表人签字或者加盖个人私章：XXXX</w:t>
      </w:r>
    </w:p>
    <w:p>
      <w:pPr>
        <w:spacing w:line="578" w:lineRule="exact"/>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授权代表签字：XXXX</w:t>
      </w:r>
    </w:p>
    <w:p>
      <w:pPr>
        <w:spacing w:line="578" w:lineRule="exact"/>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供应商名称：XXXX（盖章）</w:t>
      </w:r>
    </w:p>
    <w:p>
      <w:pPr>
        <w:spacing w:line="578" w:lineRule="exact"/>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日    期：XXX年XXX月XXX日</w:t>
      </w:r>
    </w:p>
    <w:p>
      <w:pPr>
        <w:spacing w:line="578" w:lineRule="exact"/>
        <w:ind w:firstLine="640" w:firstLineChars="200"/>
        <w:rPr>
          <w:rFonts w:ascii="仿宋_GB2312" w:hAnsi="仿宋_GB2312" w:eastAsia="仿宋_GB2312" w:cs="仿宋_GB2312"/>
          <w:color w:val="auto"/>
          <w:highlight w:val="none"/>
        </w:rPr>
      </w:pPr>
    </w:p>
    <w:p>
      <w:pPr>
        <w:spacing w:line="578" w:lineRule="exact"/>
        <w:rPr>
          <w:rFonts w:ascii="仿宋_GB2312" w:hAnsi="仿宋_GB2312" w:eastAsia="仿宋_GB2312" w:cs="仿宋_GB2312"/>
          <w:b/>
          <w:bCs/>
          <w:color w:val="auto"/>
          <w:highlight w:val="none"/>
        </w:rPr>
        <w:sectPr>
          <w:pgSz w:w="11906" w:h="16838"/>
          <w:pgMar w:top="1440" w:right="1800" w:bottom="1440" w:left="1800" w:header="851" w:footer="992" w:gutter="0"/>
          <w:pgNumType w:fmt="decimal"/>
          <w:cols w:space="720" w:num="1"/>
          <w:docGrid w:type="lines" w:linePitch="312" w:charSpace="0"/>
        </w:sectPr>
      </w:pPr>
    </w:p>
    <w:p>
      <w:pPr>
        <w:spacing w:line="578" w:lineRule="exact"/>
        <w:rPr>
          <w:rFonts w:ascii="仿宋_GB2312" w:hAnsi="仿宋_GB2312" w:eastAsia="仿宋_GB2312" w:cs="仿宋_GB2312"/>
          <w:b/>
          <w:bCs/>
          <w:color w:val="auto"/>
          <w:highlight w:val="none"/>
        </w:rPr>
      </w:pPr>
      <w:r>
        <w:rPr>
          <w:rFonts w:hint="eastAsia" w:ascii="仿宋_GB2312" w:hAnsi="仿宋_GB2312" w:eastAsia="仿宋_GB2312" w:cs="仿宋_GB2312"/>
          <w:b/>
          <w:bCs/>
          <w:color w:val="auto"/>
          <w:highlight w:val="none"/>
        </w:rPr>
        <w:t>格式1-5</w:t>
      </w:r>
    </w:p>
    <w:p>
      <w:pPr>
        <w:spacing w:line="578" w:lineRule="exact"/>
        <w:jc w:val="center"/>
        <w:rPr>
          <w:rFonts w:ascii="仿宋_GB2312" w:hAnsi="仿宋_GB2312" w:eastAsia="仿宋_GB2312" w:cs="仿宋_GB2312"/>
          <w:b/>
          <w:color w:val="auto"/>
          <w:kern w:val="0"/>
          <w:highlight w:val="none"/>
        </w:rPr>
      </w:pPr>
      <w:r>
        <w:rPr>
          <w:rFonts w:hint="eastAsia" w:ascii="仿宋_GB2312" w:hAnsi="仿宋_GB2312" w:eastAsia="仿宋_GB2312" w:cs="仿宋_GB2312"/>
          <w:b/>
          <w:color w:val="auto"/>
          <w:kern w:val="0"/>
          <w:highlight w:val="none"/>
        </w:rPr>
        <w:t>诚信行为声明函</w:t>
      </w:r>
    </w:p>
    <w:p>
      <w:pPr>
        <w:spacing w:line="578" w:lineRule="exact"/>
        <w:jc w:val="center"/>
        <w:rPr>
          <w:rFonts w:ascii="仿宋_GB2312" w:hAnsi="仿宋_GB2312" w:eastAsia="仿宋_GB2312" w:cs="仿宋_GB2312"/>
          <w:b/>
          <w:bCs/>
          <w:color w:val="auto"/>
          <w:spacing w:val="8"/>
          <w:highlight w:val="none"/>
        </w:rPr>
      </w:pPr>
    </w:p>
    <w:p>
      <w:pPr>
        <w:widowControl/>
        <w:shd w:val="clear" w:color="auto" w:fill="FFFFFF"/>
        <w:spacing w:line="240" w:lineRule="auto"/>
        <w:jc w:val="left"/>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达州市投资有限公司：</w:t>
      </w:r>
    </w:p>
    <w:p>
      <w:pPr>
        <w:widowControl/>
        <w:shd w:val="clear" w:color="auto" w:fill="FFFFFF"/>
        <w:spacing w:line="578" w:lineRule="exact"/>
        <w:ind w:firstLine="640" w:firstLineChars="200"/>
        <w:jc w:val="left"/>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本公司作为“</w:t>
      </w:r>
      <w:r>
        <w:rPr>
          <w:rFonts w:hint="eastAsia" w:ascii="仿宋_GB2312" w:hAnsi="仿宋_GB2312" w:eastAsia="仿宋_GB2312" w:cs="仿宋_GB2312"/>
          <w:color w:val="auto"/>
          <w:highlight w:val="none"/>
          <w:u w:val="single"/>
        </w:rPr>
        <w:t xml:space="preserve">     （项目名称）       </w:t>
      </w:r>
      <w:r>
        <w:rPr>
          <w:rFonts w:hint="eastAsia" w:ascii="仿宋_GB2312" w:hAnsi="仿宋_GB2312" w:eastAsia="仿宋_GB2312" w:cs="仿宋_GB2312"/>
          <w:color w:val="auto"/>
          <w:highlight w:val="none"/>
        </w:rPr>
        <w:t>”</w:t>
      </w:r>
      <w:r>
        <w:rPr>
          <w:rFonts w:hint="eastAsia" w:ascii="仿宋_GB2312" w:hAnsi="仿宋_GB2312" w:eastAsia="仿宋_GB2312" w:cs="仿宋_GB2312"/>
          <w:color w:val="auto"/>
          <w:highlight w:val="none"/>
          <w:u w:val="single"/>
        </w:rPr>
        <w:t xml:space="preserve"> 编号：           </w:t>
      </w:r>
      <w:r>
        <w:rPr>
          <w:rFonts w:hint="eastAsia" w:ascii="仿宋_GB2312" w:hAnsi="仿宋_GB2312" w:eastAsia="仿宋_GB2312" w:cs="仿宋_GB2312"/>
          <w:color w:val="auto"/>
          <w:highlight w:val="none"/>
        </w:rPr>
        <w:t>采购项目的供应商，郑重声明：</w:t>
      </w:r>
    </w:p>
    <w:p>
      <w:pPr>
        <w:widowControl/>
        <w:shd w:val="clear" w:color="auto" w:fill="FFFFFF"/>
        <w:spacing w:line="578" w:lineRule="exact"/>
        <w:ind w:firstLine="640" w:firstLineChars="200"/>
        <w:jc w:val="left"/>
        <w:rPr>
          <w:rFonts w:ascii="仿宋_GB2312" w:hAnsi="仿宋_GB2312" w:eastAsia="仿宋_GB2312" w:cs="仿宋_GB2312"/>
          <w:color w:val="auto"/>
          <w:kern w:val="0"/>
          <w:highlight w:val="none"/>
        </w:rPr>
      </w:pPr>
      <w:r>
        <w:rPr>
          <w:rFonts w:hint="eastAsia" w:ascii="仿宋_GB2312" w:hAnsi="仿宋_GB2312" w:eastAsia="仿宋_GB2312" w:cs="仿宋_GB2312"/>
          <w:color w:val="auto"/>
          <w:highlight w:val="none"/>
        </w:rPr>
        <w:t>1、在参加本次采购活动前，未</w:t>
      </w:r>
      <w:r>
        <w:rPr>
          <w:rFonts w:hint="eastAsia" w:ascii="仿宋_GB2312" w:hAnsi="仿宋_GB2312" w:eastAsia="仿宋_GB2312" w:cs="仿宋_GB2312"/>
          <w:color w:val="auto"/>
          <w:kern w:val="0"/>
          <w:highlight w:val="none"/>
        </w:rPr>
        <w:t>被纳入法院、工商行政管理部门、税务部门、银行认定的失信名单内；</w:t>
      </w:r>
    </w:p>
    <w:p>
      <w:pPr>
        <w:widowControl/>
        <w:shd w:val="clear" w:color="auto" w:fill="FFFFFF"/>
        <w:spacing w:line="578" w:lineRule="exact"/>
        <w:ind w:firstLine="640" w:firstLineChars="200"/>
        <w:jc w:val="left"/>
        <w:rPr>
          <w:rFonts w:ascii="仿宋_GB2312" w:hAnsi="仿宋_GB2312" w:eastAsia="仿宋_GB2312" w:cs="仿宋_GB2312"/>
          <w:color w:val="auto"/>
          <w:kern w:val="0"/>
          <w:highlight w:val="none"/>
        </w:rPr>
      </w:pPr>
      <w:r>
        <w:rPr>
          <w:rFonts w:hint="eastAsia" w:ascii="仿宋_GB2312" w:hAnsi="仿宋_GB2312" w:eastAsia="仿宋_GB2312" w:cs="仿宋_GB2312"/>
          <w:color w:val="auto"/>
          <w:kern w:val="0"/>
          <w:highlight w:val="none"/>
        </w:rPr>
        <w:t>2、在</w:t>
      </w:r>
      <w:r>
        <w:rPr>
          <w:rFonts w:hint="eastAsia" w:ascii="仿宋_GB2312" w:hAnsi="仿宋_GB2312" w:eastAsia="仿宋_GB2312" w:cs="仿宋_GB2312"/>
          <w:color w:val="auto"/>
          <w:highlight w:val="none"/>
        </w:rPr>
        <w:t>参加本次采购活动前三年内</w:t>
      </w:r>
      <w:r>
        <w:rPr>
          <w:rFonts w:hint="eastAsia" w:ascii="仿宋_GB2312" w:hAnsi="仿宋_GB2312" w:eastAsia="仿宋_GB2312" w:cs="仿宋_GB2312"/>
          <w:color w:val="auto"/>
          <w:kern w:val="0"/>
          <w:highlight w:val="none"/>
        </w:rPr>
        <w:t>的采购合同履约过程中及其他经营活动履约过程中，无未依法履约被有关部门处罚（处理）的行为。</w:t>
      </w:r>
    </w:p>
    <w:p>
      <w:pPr>
        <w:spacing w:line="578" w:lineRule="exact"/>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本公司对上述声明的真实性负责。如有虚假，将依法承担相应责任。</w:t>
      </w:r>
    </w:p>
    <w:p>
      <w:pPr>
        <w:spacing w:line="578" w:lineRule="exact"/>
        <w:rPr>
          <w:rFonts w:ascii="仿宋_GB2312" w:hAnsi="仿宋_GB2312" w:eastAsia="仿宋_GB2312" w:cs="仿宋_GB2312"/>
          <w:color w:val="auto"/>
          <w:highlight w:val="none"/>
        </w:rPr>
      </w:pPr>
    </w:p>
    <w:p>
      <w:pPr>
        <w:spacing w:line="578" w:lineRule="exact"/>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供应商名称：XXX（盖单位公章）</w:t>
      </w:r>
    </w:p>
    <w:p>
      <w:pPr>
        <w:spacing w:line="578" w:lineRule="exact"/>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法定代表人或授权代表（签字）：XXX</w:t>
      </w:r>
    </w:p>
    <w:p>
      <w:pPr>
        <w:spacing w:line="578" w:lineRule="exact"/>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日      期：XXX</w:t>
      </w:r>
    </w:p>
    <w:p>
      <w:pPr>
        <w:spacing w:line="578" w:lineRule="exact"/>
        <w:rPr>
          <w:rFonts w:ascii="仿宋_GB2312" w:hAnsi="仿宋_GB2312" w:eastAsia="仿宋_GB2312" w:cs="仿宋_GB2312"/>
          <w:color w:val="auto"/>
          <w:highlight w:val="none"/>
        </w:rPr>
      </w:pPr>
    </w:p>
    <w:p>
      <w:pPr>
        <w:widowControl/>
        <w:spacing w:after="240" w:line="578" w:lineRule="exact"/>
        <w:jc w:val="center"/>
        <w:rPr>
          <w:rFonts w:ascii="仿宋_GB2312" w:hAnsi="仿宋_GB2312" w:eastAsia="仿宋_GB2312" w:cs="仿宋_GB2312"/>
          <w:color w:val="auto"/>
          <w:kern w:val="0"/>
          <w:highlight w:val="none"/>
        </w:rPr>
      </w:pPr>
    </w:p>
    <w:p>
      <w:pPr>
        <w:spacing w:line="578" w:lineRule="exact"/>
        <w:rPr>
          <w:rFonts w:ascii="仿宋_GB2312" w:hAnsi="仿宋_GB2312" w:eastAsia="仿宋_GB2312" w:cs="仿宋_GB2312"/>
          <w:b/>
          <w:bCs/>
          <w:color w:val="auto"/>
          <w:highlight w:val="none"/>
        </w:rPr>
        <w:sectPr>
          <w:pgSz w:w="11906" w:h="16838"/>
          <w:pgMar w:top="1440" w:right="1800" w:bottom="1440" w:left="1800" w:header="851" w:footer="992" w:gutter="0"/>
          <w:pgNumType w:fmt="decimal"/>
          <w:cols w:space="720" w:num="1"/>
          <w:docGrid w:type="lines" w:linePitch="312" w:charSpace="0"/>
        </w:sectPr>
      </w:pPr>
    </w:p>
    <w:p>
      <w:pPr>
        <w:spacing w:line="578" w:lineRule="exact"/>
        <w:rPr>
          <w:rFonts w:ascii="仿宋_GB2312" w:hAnsi="仿宋_GB2312" w:eastAsia="仿宋_GB2312" w:cs="仿宋_GB2312"/>
          <w:b/>
          <w:bCs/>
          <w:color w:val="auto"/>
          <w:highlight w:val="none"/>
        </w:rPr>
      </w:pPr>
      <w:r>
        <w:rPr>
          <w:rFonts w:hint="eastAsia" w:ascii="仿宋_GB2312" w:hAnsi="仿宋_GB2312" w:eastAsia="仿宋_GB2312" w:cs="仿宋_GB2312"/>
          <w:b/>
          <w:bCs/>
          <w:color w:val="auto"/>
          <w:highlight w:val="none"/>
        </w:rPr>
        <w:t>格式1-6</w:t>
      </w:r>
    </w:p>
    <w:p>
      <w:pPr>
        <w:widowControl/>
        <w:spacing w:line="578" w:lineRule="exact"/>
        <w:jc w:val="center"/>
        <w:rPr>
          <w:rFonts w:ascii="仿宋_GB2312" w:hAnsi="仿宋_GB2312" w:eastAsia="仿宋_GB2312" w:cs="仿宋_GB2312"/>
          <w:b/>
          <w:bCs/>
          <w:color w:val="auto"/>
          <w:kern w:val="0"/>
          <w:highlight w:val="none"/>
          <w:lang w:bidi="ar"/>
        </w:rPr>
      </w:pPr>
      <w:r>
        <w:rPr>
          <w:rFonts w:hint="eastAsia" w:ascii="仿宋_GB2312" w:hAnsi="仿宋_GB2312" w:eastAsia="仿宋_GB2312" w:cs="仿宋_GB2312"/>
          <w:b/>
          <w:bCs/>
          <w:color w:val="auto"/>
          <w:kern w:val="0"/>
          <w:highlight w:val="none"/>
          <w:lang w:bidi="ar"/>
        </w:rPr>
        <w:t>依法缴纳税收和社会保障资金承诺函</w:t>
      </w:r>
    </w:p>
    <w:p>
      <w:pPr>
        <w:widowControl/>
        <w:spacing w:line="578" w:lineRule="exact"/>
        <w:jc w:val="center"/>
        <w:rPr>
          <w:rFonts w:ascii="仿宋_GB2312" w:hAnsi="仿宋_GB2312" w:eastAsia="仿宋_GB2312" w:cs="仿宋_GB2312"/>
          <w:b/>
          <w:bCs/>
          <w:color w:val="auto"/>
          <w:kern w:val="0"/>
          <w:highlight w:val="none"/>
          <w:lang w:bidi="ar"/>
        </w:rPr>
      </w:pPr>
    </w:p>
    <w:p>
      <w:pPr>
        <w:pStyle w:val="16"/>
        <w:spacing w:before="46" w:after="312" w:afterLines="100" w:line="578" w:lineRule="exact"/>
        <w:ind w:firstLine="0" w:firstLineChars="0"/>
        <w:rPr>
          <w:rFonts w:ascii="仿宋_GB2312" w:hAnsi="仿宋_GB2312" w:cs="仿宋_GB2312"/>
          <w:color w:val="auto"/>
          <w:sz w:val="32"/>
          <w:szCs w:val="32"/>
          <w:highlight w:val="none"/>
        </w:rPr>
      </w:pPr>
    </w:p>
    <w:p>
      <w:pPr>
        <w:pStyle w:val="9"/>
        <w:spacing w:before="0" w:beforeAutospacing="0" w:after="0" w:afterAutospacing="0" w:line="578" w:lineRule="exact"/>
        <w:ind w:firstLine="16" w:firstLineChars="5"/>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 xml:space="preserve">     我单位现参与</w:t>
      </w:r>
      <w:r>
        <w:rPr>
          <w:rFonts w:hint="eastAsia" w:ascii="仿宋_GB2312" w:hAnsi="仿宋_GB2312" w:eastAsia="仿宋_GB2312" w:cs="仿宋_GB2312"/>
          <w:color w:val="auto"/>
          <w:sz w:val="32"/>
          <w:szCs w:val="32"/>
          <w:highlight w:val="none"/>
          <w:u w:val="single"/>
        </w:rPr>
        <w:t xml:space="preserve">                              </w:t>
      </w:r>
      <w:r>
        <w:rPr>
          <w:rFonts w:hint="eastAsia" w:ascii="仿宋_GB2312" w:hAnsi="仿宋_GB2312" w:eastAsia="仿宋_GB2312" w:cs="仿宋_GB2312"/>
          <w:color w:val="auto"/>
          <w:sz w:val="32"/>
          <w:szCs w:val="32"/>
          <w:highlight w:val="none"/>
        </w:rPr>
        <w:t>项目的投标，作出如下承诺：</w:t>
      </w:r>
    </w:p>
    <w:p>
      <w:pPr>
        <w:pStyle w:val="9"/>
        <w:spacing w:before="0" w:beforeAutospacing="0" w:after="0" w:afterAutospacing="0" w:line="578" w:lineRule="exact"/>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 xml:space="preserve">     我单位依法缴纳税收和员工社会保险。</w:t>
      </w:r>
    </w:p>
    <w:p>
      <w:pPr>
        <w:pStyle w:val="9"/>
        <w:spacing w:before="0" w:beforeAutospacing="0" w:after="0" w:afterAutospacing="0" w:line="578" w:lineRule="exact"/>
        <w:ind w:firstLine="800" w:firstLineChars="250"/>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本单位对上述承诺的真实性负责。如有虚假，将依法承担相应责任。</w:t>
      </w:r>
    </w:p>
    <w:p>
      <w:pPr>
        <w:pStyle w:val="9"/>
        <w:spacing w:before="0" w:beforeAutospacing="0" w:after="0" w:afterAutospacing="0" w:line="578" w:lineRule="exact"/>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 xml:space="preserve">     特此承诺。</w:t>
      </w:r>
    </w:p>
    <w:p>
      <w:pPr>
        <w:pStyle w:val="9"/>
        <w:spacing w:before="0" w:beforeAutospacing="0" w:after="0" w:afterAutospacing="0" w:line="578" w:lineRule="exact"/>
        <w:rPr>
          <w:rFonts w:ascii="仿宋_GB2312" w:hAnsi="仿宋_GB2312" w:eastAsia="仿宋_GB2312" w:cs="仿宋_GB2312"/>
          <w:color w:val="auto"/>
          <w:sz w:val="32"/>
          <w:szCs w:val="32"/>
          <w:highlight w:val="none"/>
        </w:rPr>
      </w:pPr>
    </w:p>
    <w:p>
      <w:pPr>
        <w:spacing w:line="578" w:lineRule="exact"/>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供应商名称：XXX（盖单位公章）</w:t>
      </w:r>
    </w:p>
    <w:p>
      <w:pPr>
        <w:spacing w:line="578" w:lineRule="exact"/>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法定代表人或授权代表（签字）：XXX</w:t>
      </w:r>
    </w:p>
    <w:p>
      <w:pPr>
        <w:spacing w:line="578" w:lineRule="exact"/>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日      期：XXX</w:t>
      </w:r>
    </w:p>
    <w:p>
      <w:pPr>
        <w:spacing w:line="578" w:lineRule="exact"/>
        <w:jc w:val="center"/>
        <w:rPr>
          <w:rFonts w:ascii="仿宋_GB2312" w:hAnsi="仿宋_GB2312" w:eastAsia="仿宋_GB2312" w:cs="仿宋_GB2312"/>
          <w:color w:val="auto"/>
          <w:highlight w:val="none"/>
        </w:rPr>
      </w:pPr>
    </w:p>
    <w:p>
      <w:pPr>
        <w:spacing w:line="578" w:lineRule="exact"/>
        <w:jc w:val="center"/>
        <w:rPr>
          <w:rFonts w:ascii="仿宋_GB2312" w:hAnsi="仿宋_GB2312" w:eastAsia="仿宋_GB2312" w:cs="仿宋_GB2312"/>
          <w:color w:val="auto"/>
          <w:highlight w:val="none"/>
        </w:rPr>
      </w:pPr>
    </w:p>
    <w:p>
      <w:pPr>
        <w:spacing w:line="578" w:lineRule="exact"/>
        <w:rPr>
          <w:rFonts w:ascii="仿宋_GB2312" w:hAnsi="仿宋_GB2312" w:eastAsia="仿宋_GB2312" w:cs="仿宋_GB2312"/>
          <w:b/>
          <w:bCs/>
          <w:color w:val="auto"/>
          <w:highlight w:val="none"/>
        </w:rPr>
        <w:sectPr>
          <w:pgSz w:w="11906" w:h="16838"/>
          <w:pgMar w:top="1440" w:right="1800" w:bottom="1440" w:left="1800" w:header="851" w:footer="992" w:gutter="0"/>
          <w:pgNumType w:fmt="decimal"/>
          <w:cols w:space="720" w:num="1"/>
          <w:docGrid w:type="lines" w:linePitch="312" w:charSpace="0"/>
        </w:sectPr>
      </w:pPr>
    </w:p>
    <w:p>
      <w:pPr>
        <w:spacing w:line="578" w:lineRule="exact"/>
        <w:jc w:val="center"/>
        <w:outlineLvl w:val="1"/>
        <w:rPr>
          <w:rFonts w:ascii="仿宋_GB2312" w:hAnsi="仿宋_GB2312" w:eastAsia="仿宋_GB2312" w:cs="仿宋_GB2312"/>
          <w:b/>
          <w:color w:val="auto"/>
          <w:highlight w:val="none"/>
        </w:rPr>
      </w:pPr>
      <w:r>
        <w:rPr>
          <w:rFonts w:hint="eastAsia" w:ascii="仿宋_GB2312" w:hAnsi="仿宋_GB2312" w:eastAsia="仿宋_GB2312" w:cs="仿宋_GB2312"/>
          <w:b/>
          <w:color w:val="auto"/>
          <w:highlight w:val="none"/>
        </w:rPr>
        <w:t>第二部分     “其他响应文件”格式</w:t>
      </w:r>
    </w:p>
    <w:p>
      <w:pPr>
        <w:spacing w:line="578" w:lineRule="exact"/>
        <w:rPr>
          <w:rFonts w:ascii="仿宋_GB2312" w:hAnsi="仿宋_GB2312" w:eastAsia="仿宋_GB2312" w:cs="仿宋_GB2312"/>
          <w:b/>
          <w:color w:val="auto"/>
          <w:highlight w:val="none"/>
        </w:rPr>
      </w:pPr>
      <w:r>
        <w:rPr>
          <w:rFonts w:hint="eastAsia" w:ascii="仿宋_GB2312" w:hAnsi="仿宋_GB2312" w:eastAsia="仿宋_GB2312" w:cs="仿宋_GB2312"/>
          <w:b/>
          <w:color w:val="auto"/>
          <w:highlight w:val="none"/>
        </w:rPr>
        <w:t>格式2-1</w:t>
      </w:r>
    </w:p>
    <w:p>
      <w:pPr>
        <w:spacing w:line="578" w:lineRule="exact"/>
        <w:jc w:val="center"/>
        <w:rPr>
          <w:rFonts w:ascii="仿宋_GB2312" w:hAnsi="仿宋_GB2312" w:eastAsia="仿宋_GB2312" w:cs="仿宋_GB2312"/>
          <w:b/>
          <w:color w:val="auto"/>
          <w:highlight w:val="none"/>
        </w:rPr>
      </w:pPr>
    </w:p>
    <w:p>
      <w:pPr>
        <w:spacing w:line="578" w:lineRule="exact"/>
        <w:rPr>
          <w:rFonts w:ascii="仿宋_GB2312" w:hAnsi="仿宋_GB2312" w:eastAsia="仿宋_GB2312" w:cs="仿宋_GB2312"/>
          <w:b/>
          <w:color w:val="auto"/>
          <w:highlight w:val="none"/>
        </w:rPr>
      </w:pPr>
    </w:p>
    <w:p>
      <w:pPr>
        <w:spacing w:line="578" w:lineRule="exact"/>
        <w:rPr>
          <w:rFonts w:ascii="仿宋_GB2312" w:hAnsi="仿宋_GB2312" w:eastAsia="仿宋_GB2312" w:cs="仿宋_GB2312"/>
          <w:b/>
          <w:color w:val="auto"/>
          <w:highlight w:val="none"/>
        </w:rPr>
      </w:pPr>
    </w:p>
    <w:p>
      <w:pPr>
        <w:spacing w:line="578" w:lineRule="exact"/>
        <w:rPr>
          <w:rFonts w:ascii="仿宋_GB2312" w:hAnsi="仿宋_GB2312" w:eastAsia="仿宋_GB2312" w:cs="仿宋_GB2312"/>
          <w:b/>
          <w:color w:val="auto"/>
          <w:highlight w:val="none"/>
        </w:rPr>
      </w:pPr>
    </w:p>
    <w:p>
      <w:pPr>
        <w:spacing w:line="578" w:lineRule="exact"/>
        <w:jc w:val="center"/>
        <w:rPr>
          <w:rFonts w:ascii="仿宋_GB2312" w:hAnsi="仿宋_GB2312" w:eastAsia="仿宋_GB2312" w:cs="仿宋_GB2312"/>
          <w:b/>
          <w:color w:val="auto"/>
          <w:highlight w:val="none"/>
        </w:rPr>
      </w:pPr>
      <w:r>
        <w:rPr>
          <w:rFonts w:hint="eastAsia" w:ascii="仿宋_GB2312" w:hAnsi="仿宋_GB2312" w:eastAsia="仿宋_GB2312" w:cs="仿宋_GB2312"/>
          <w:b/>
          <w:color w:val="auto"/>
          <w:highlight w:val="none"/>
        </w:rPr>
        <w:t>其他响应文件</w:t>
      </w:r>
    </w:p>
    <w:p>
      <w:pPr>
        <w:spacing w:line="578" w:lineRule="exact"/>
        <w:rPr>
          <w:rFonts w:ascii="仿宋_GB2312" w:hAnsi="仿宋_GB2312" w:eastAsia="仿宋_GB2312" w:cs="仿宋_GB2312"/>
          <w:b/>
          <w:color w:val="auto"/>
          <w:highlight w:val="none"/>
        </w:rPr>
      </w:pPr>
    </w:p>
    <w:p>
      <w:pPr>
        <w:spacing w:line="578" w:lineRule="exact"/>
        <w:rPr>
          <w:rFonts w:ascii="仿宋_GB2312" w:hAnsi="仿宋_GB2312" w:eastAsia="仿宋_GB2312" w:cs="仿宋_GB2312"/>
          <w:b/>
          <w:color w:val="auto"/>
          <w:highlight w:val="none"/>
        </w:rPr>
      </w:pPr>
    </w:p>
    <w:p>
      <w:pPr>
        <w:spacing w:line="578" w:lineRule="exact"/>
        <w:rPr>
          <w:rFonts w:ascii="仿宋_GB2312" w:hAnsi="仿宋_GB2312" w:eastAsia="仿宋_GB2312" w:cs="仿宋_GB2312"/>
          <w:b/>
          <w:color w:val="auto"/>
          <w:highlight w:val="none"/>
        </w:rPr>
      </w:pPr>
    </w:p>
    <w:p>
      <w:pPr>
        <w:spacing w:line="578" w:lineRule="exact"/>
        <w:rPr>
          <w:rFonts w:ascii="仿宋_GB2312" w:hAnsi="仿宋_GB2312" w:eastAsia="仿宋_GB2312" w:cs="仿宋_GB2312"/>
          <w:b/>
          <w:color w:val="auto"/>
          <w:highlight w:val="none"/>
        </w:rPr>
      </w:pPr>
    </w:p>
    <w:p>
      <w:pPr>
        <w:spacing w:line="578" w:lineRule="exact"/>
        <w:rPr>
          <w:rFonts w:ascii="仿宋_GB2312" w:hAnsi="仿宋_GB2312" w:eastAsia="仿宋_GB2312" w:cs="仿宋_GB2312"/>
          <w:b/>
          <w:color w:val="auto"/>
          <w:highlight w:val="none"/>
        </w:rPr>
      </w:pPr>
    </w:p>
    <w:p>
      <w:pPr>
        <w:spacing w:line="578" w:lineRule="exact"/>
        <w:ind w:firstLine="642" w:firstLineChars="200"/>
        <w:jc w:val="left"/>
        <w:rPr>
          <w:rFonts w:ascii="仿宋_GB2312" w:hAnsi="仿宋_GB2312" w:eastAsia="仿宋_GB2312" w:cs="仿宋_GB2312"/>
          <w:b/>
          <w:color w:val="auto"/>
          <w:highlight w:val="none"/>
        </w:rPr>
      </w:pPr>
      <w:r>
        <w:rPr>
          <w:rFonts w:hint="eastAsia" w:ascii="仿宋_GB2312" w:hAnsi="仿宋_GB2312" w:eastAsia="仿宋_GB2312" w:cs="仿宋_GB2312"/>
          <w:b/>
          <w:color w:val="auto"/>
          <w:highlight w:val="none"/>
        </w:rPr>
        <w:t>供 应 商名称：</w:t>
      </w:r>
    </w:p>
    <w:p>
      <w:pPr>
        <w:spacing w:line="578" w:lineRule="exact"/>
        <w:ind w:firstLine="642" w:firstLineChars="200"/>
        <w:jc w:val="left"/>
        <w:rPr>
          <w:rFonts w:ascii="仿宋_GB2312" w:hAnsi="仿宋_GB2312" w:eastAsia="仿宋_GB2312" w:cs="仿宋_GB2312"/>
          <w:b/>
          <w:color w:val="auto"/>
          <w:highlight w:val="none"/>
          <w:u w:val="single"/>
        </w:rPr>
      </w:pPr>
      <w:r>
        <w:rPr>
          <w:rFonts w:hint="eastAsia" w:ascii="仿宋_GB2312" w:hAnsi="仿宋_GB2312" w:eastAsia="仿宋_GB2312" w:cs="仿宋_GB2312"/>
          <w:b/>
          <w:color w:val="auto"/>
          <w:highlight w:val="none"/>
        </w:rPr>
        <w:t>项 目 名 称：</w:t>
      </w:r>
    </w:p>
    <w:p>
      <w:pPr>
        <w:spacing w:line="578" w:lineRule="exact"/>
        <w:ind w:firstLine="642" w:firstLineChars="200"/>
        <w:jc w:val="left"/>
        <w:rPr>
          <w:rFonts w:ascii="仿宋_GB2312" w:hAnsi="仿宋_GB2312" w:eastAsia="仿宋_GB2312" w:cs="仿宋_GB2312"/>
          <w:b/>
          <w:color w:val="auto"/>
          <w:highlight w:val="none"/>
        </w:rPr>
      </w:pPr>
    </w:p>
    <w:p>
      <w:pPr>
        <w:spacing w:line="578" w:lineRule="exact"/>
        <w:jc w:val="center"/>
        <w:rPr>
          <w:rFonts w:ascii="仿宋_GB2312" w:hAnsi="仿宋_GB2312" w:eastAsia="仿宋_GB2312" w:cs="仿宋_GB2312"/>
          <w:b/>
          <w:color w:val="auto"/>
          <w:highlight w:val="none"/>
        </w:rPr>
      </w:pPr>
    </w:p>
    <w:p>
      <w:pPr>
        <w:widowControl/>
        <w:spacing w:line="578" w:lineRule="exact"/>
        <w:ind w:firstLine="629" w:firstLineChars="196"/>
        <w:jc w:val="center"/>
        <w:rPr>
          <w:rFonts w:ascii="仿宋_GB2312" w:hAnsi="仿宋_GB2312" w:eastAsia="仿宋_GB2312" w:cs="仿宋_GB2312"/>
          <w:b/>
          <w:color w:val="auto"/>
          <w:highlight w:val="none"/>
        </w:rPr>
      </w:pPr>
      <w:r>
        <w:rPr>
          <w:rFonts w:hint="eastAsia" w:ascii="仿宋_GB2312" w:hAnsi="仿宋_GB2312" w:eastAsia="仿宋_GB2312" w:cs="仿宋_GB2312"/>
          <w:b/>
          <w:color w:val="auto"/>
          <w:highlight w:val="none"/>
        </w:rPr>
        <w:t>XX年XX月XX日</w:t>
      </w:r>
    </w:p>
    <w:p>
      <w:pPr>
        <w:spacing w:line="578" w:lineRule="exact"/>
        <w:rPr>
          <w:rFonts w:ascii="仿宋_GB2312" w:hAnsi="仿宋_GB2312" w:eastAsia="仿宋_GB2312" w:cs="仿宋_GB2312"/>
          <w:b/>
          <w:color w:val="auto"/>
          <w:highlight w:val="none"/>
        </w:rPr>
        <w:sectPr>
          <w:pgSz w:w="11906" w:h="16838"/>
          <w:pgMar w:top="1440" w:right="1800" w:bottom="1440" w:left="1800" w:header="851" w:footer="992" w:gutter="0"/>
          <w:pgNumType w:fmt="decimal"/>
          <w:cols w:space="720" w:num="1"/>
          <w:docGrid w:type="lines" w:linePitch="312" w:charSpace="0"/>
        </w:sectPr>
      </w:pPr>
    </w:p>
    <w:p>
      <w:pPr>
        <w:spacing w:line="578" w:lineRule="exact"/>
        <w:rPr>
          <w:rFonts w:ascii="仿宋_GB2312" w:hAnsi="仿宋_GB2312" w:eastAsia="仿宋_GB2312" w:cs="仿宋_GB2312"/>
          <w:b/>
          <w:color w:val="auto"/>
          <w:highlight w:val="none"/>
        </w:rPr>
      </w:pPr>
      <w:r>
        <w:rPr>
          <w:rFonts w:hint="eastAsia" w:ascii="仿宋_GB2312" w:hAnsi="仿宋_GB2312" w:eastAsia="仿宋_GB2312" w:cs="仿宋_GB2312"/>
          <w:b/>
          <w:color w:val="auto"/>
          <w:highlight w:val="none"/>
        </w:rPr>
        <w:t>格式2-2</w:t>
      </w:r>
    </w:p>
    <w:p>
      <w:pPr>
        <w:spacing w:line="578" w:lineRule="exact"/>
        <w:jc w:val="center"/>
        <w:rPr>
          <w:rFonts w:ascii="仿宋_GB2312" w:hAnsi="仿宋_GB2312" w:eastAsia="仿宋_GB2312" w:cs="仿宋_GB2312"/>
          <w:b/>
          <w:color w:val="auto"/>
          <w:highlight w:val="none"/>
        </w:rPr>
      </w:pPr>
      <w:r>
        <w:rPr>
          <w:rFonts w:hint="eastAsia" w:ascii="仿宋_GB2312" w:hAnsi="仿宋_GB2312" w:eastAsia="仿宋_GB2312" w:cs="仿宋_GB2312"/>
          <w:b/>
          <w:color w:val="auto"/>
          <w:highlight w:val="none"/>
        </w:rPr>
        <w:t>报价函</w:t>
      </w:r>
    </w:p>
    <w:p>
      <w:pPr>
        <w:spacing w:line="578" w:lineRule="exact"/>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达州市投资有限公司：</w:t>
      </w:r>
    </w:p>
    <w:p>
      <w:pPr>
        <w:spacing w:line="578" w:lineRule="exact"/>
        <w:ind w:firstLine="640" w:firstLineChars="200"/>
        <w:jc w:val="left"/>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1.我方全面研究了“XXXXXX”项目谈判文件（项目编号：XXXX），决定参加贵单位组织的本项目谈判采购。</w:t>
      </w:r>
    </w:p>
    <w:p>
      <w:pPr>
        <w:spacing w:line="578" w:lineRule="exact"/>
        <w:ind w:firstLine="640" w:firstLineChars="200"/>
        <w:jc w:val="left"/>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2.我方自愿按照谈判文件规定的各项要求向采购人提供所需服务，总报价为XX</w:t>
      </w:r>
      <w:r>
        <w:rPr>
          <w:rFonts w:hint="eastAsia" w:ascii="仿宋_GB2312" w:hAnsi="仿宋_GB2312" w:eastAsia="仿宋_GB2312" w:cs="仿宋_GB2312"/>
          <w:color w:val="auto"/>
          <w:highlight w:val="none"/>
          <w:lang w:val="en-US" w:eastAsia="zh-CN"/>
        </w:rPr>
        <w:t>万元（大写：XXXX元）</w:t>
      </w:r>
      <w:r>
        <w:rPr>
          <w:rFonts w:hint="eastAsia" w:ascii="仿宋_GB2312" w:hAnsi="仿宋_GB2312" w:eastAsia="仿宋_GB2312" w:cs="仿宋_GB2312"/>
          <w:color w:val="auto"/>
          <w:highlight w:val="none"/>
        </w:rPr>
        <w:t>。</w:t>
      </w:r>
    </w:p>
    <w:p>
      <w:pPr>
        <w:spacing w:line="578" w:lineRule="exact"/>
        <w:ind w:firstLine="640" w:firstLineChars="200"/>
        <w:jc w:val="left"/>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3.一旦我方成交，我方将严格履行采购合同规定的责任和义务。</w:t>
      </w:r>
    </w:p>
    <w:p>
      <w:pPr>
        <w:spacing w:line="578" w:lineRule="exact"/>
        <w:ind w:firstLine="640" w:firstLineChars="200"/>
        <w:jc w:val="left"/>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4.我方愿意提供贵单位可能另外要求的，与谈判报价有关的文件资料，并保证我方已提供和将要提供的文件资料是真实、准确的。</w:t>
      </w:r>
    </w:p>
    <w:p>
      <w:pPr>
        <w:spacing w:line="578" w:lineRule="exact"/>
        <w:ind w:firstLine="640" w:firstLineChars="200"/>
        <w:jc w:val="left"/>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5.本次谈判，我方递交的响应文件有效期为谈判文件规定起算之日起X天。</w:t>
      </w:r>
    </w:p>
    <w:p>
      <w:pPr>
        <w:spacing w:line="578" w:lineRule="exact"/>
        <w:ind w:firstLine="640" w:firstLineChars="200"/>
        <w:jc w:val="left"/>
        <w:rPr>
          <w:rFonts w:ascii="仿宋_GB2312" w:hAnsi="仿宋_GB2312" w:eastAsia="仿宋_GB2312" w:cs="仿宋_GB2312"/>
          <w:color w:val="auto"/>
          <w:highlight w:val="none"/>
        </w:rPr>
      </w:pPr>
    </w:p>
    <w:p>
      <w:pPr>
        <w:adjustRightInd w:val="0"/>
        <w:spacing w:line="578" w:lineRule="exact"/>
        <w:ind w:firstLine="640" w:firstLineChars="200"/>
        <w:jc w:val="left"/>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供应商名称：XXX（盖单位公章）</w:t>
      </w:r>
    </w:p>
    <w:p>
      <w:pPr>
        <w:spacing w:line="578" w:lineRule="exact"/>
        <w:ind w:firstLine="627" w:firstLineChars="196"/>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法定代表人或授权代表（签字或盖章）：XXX</w:t>
      </w:r>
    </w:p>
    <w:p>
      <w:pPr>
        <w:spacing w:line="578" w:lineRule="exact"/>
        <w:ind w:firstLine="627" w:firstLineChars="196"/>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通讯地址：XXX</w:t>
      </w:r>
    </w:p>
    <w:p>
      <w:pPr>
        <w:spacing w:line="578" w:lineRule="exact"/>
        <w:ind w:firstLine="640" w:firstLineChars="200"/>
        <w:jc w:val="left"/>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日    期：XXX年XXX月XXX日</w:t>
      </w:r>
    </w:p>
    <w:p>
      <w:pPr>
        <w:spacing w:line="578" w:lineRule="exact"/>
        <w:jc w:val="left"/>
        <w:rPr>
          <w:rFonts w:ascii="仿宋_GB2312" w:hAnsi="仿宋_GB2312" w:eastAsia="仿宋_GB2312" w:cs="仿宋_GB2312"/>
          <w:color w:val="auto"/>
          <w:highlight w:val="none"/>
        </w:rPr>
        <w:sectPr>
          <w:pgSz w:w="11906" w:h="16838"/>
          <w:pgMar w:top="1440" w:right="1800" w:bottom="1440" w:left="1800" w:header="851" w:footer="992" w:gutter="0"/>
          <w:pgNumType w:fmt="decimal"/>
          <w:cols w:space="720" w:num="1"/>
          <w:docGrid w:type="lines" w:linePitch="312" w:charSpace="0"/>
        </w:sectPr>
      </w:pPr>
    </w:p>
    <w:p>
      <w:pPr>
        <w:spacing w:line="578" w:lineRule="exact"/>
        <w:jc w:val="left"/>
        <w:rPr>
          <w:rFonts w:ascii="仿宋_GB2312" w:hAnsi="仿宋_GB2312" w:eastAsia="仿宋_GB2312" w:cs="仿宋_GB2312"/>
          <w:b/>
          <w:color w:val="auto"/>
          <w:highlight w:val="none"/>
        </w:rPr>
      </w:pPr>
      <w:r>
        <w:rPr>
          <w:rFonts w:hint="eastAsia" w:ascii="仿宋_GB2312" w:hAnsi="仿宋_GB2312" w:eastAsia="仿宋_GB2312" w:cs="仿宋_GB2312"/>
          <w:b/>
          <w:color w:val="auto"/>
          <w:highlight w:val="none"/>
        </w:rPr>
        <w:t>格式2-3</w:t>
      </w:r>
    </w:p>
    <w:p>
      <w:pPr>
        <w:spacing w:line="578" w:lineRule="exact"/>
        <w:jc w:val="center"/>
        <w:rPr>
          <w:rFonts w:ascii="仿宋_GB2312" w:hAnsi="仿宋_GB2312" w:eastAsia="仿宋_GB2312" w:cs="仿宋_GB2312"/>
          <w:b/>
          <w:color w:val="auto"/>
          <w:highlight w:val="none"/>
        </w:rPr>
      </w:pPr>
      <w:r>
        <w:rPr>
          <w:rFonts w:hint="eastAsia" w:ascii="仿宋_GB2312" w:hAnsi="仿宋_GB2312" w:eastAsia="仿宋_GB2312" w:cs="仿宋_GB2312"/>
          <w:b/>
          <w:color w:val="auto"/>
          <w:highlight w:val="none"/>
        </w:rPr>
        <w:t>报价表</w:t>
      </w:r>
    </w:p>
    <w:tbl>
      <w:tblPr>
        <w:tblStyle w:val="11"/>
        <w:tblpPr w:leftFromText="180" w:rightFromText="180" w:vertAnchor="text" w:horzAnchor="page" w:tblpX="1640" w:tblpY="377"/>
        <w:tblOverlap w:val="never"/>
        <w:tblW w:w="911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816"/>
        <w:gridCol w:w="629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8" w:hRule="atLeast"/>
        </w:trPr>
        <w:tc>
          <w:tcPr>
            <w:tcW w:w="2816" w:type="dxa"/>
            <w:noWrap w:val="0"/>
            <w:vAlign w:val="center"/>
          </w:tcPr>
          <w:p>
            <w:pPr>
              <w:widowControl/>
              <w:spacing w:line="360" w:lineRule="auto"/>
              <w:jc w:val="center"/>
              <w:rPr>
                <w:rFonts w:hint="eastAsia" w:ascii="宋体" w:hAnsi="宋体" w:eastAsia="宋体" w:cs="宋体"/>
                <w:color w:val="auto"/>
                <w:kern w:val="0"/>
                <w:sz w:val="22"/>
                <w:szCs w:val="28"/>
                <w:highlight w:val="none"/>
                <w:lang w:val="en-US" w:eastAsia="zh-CN"/>
              </w:rPr>
            </w:pPr>
            <w:r>
              <w:rPr>
                <w:rFonts w:hint="eastAsia" w:ascii="仿宋_GB2312" w:hAnsi="仿宋_GB2312" w:eastAsia="仿宋_GB2312" w:cs="仿宋_GB2312"/>
                <w:color w:val="auto"/>
                <w:sz w:val="28"/>
                <w:szCs w:val="28"/>
                <w:highlight w:val="none"/>
                <w:lang w:eastAsia="zh-CN"/>
              </w:rPr>
              <w:t>采购项目编号</w:t>
            </w:r>
          </w:p>
        </w:tc>
        <w:tc>
          <w:tcPr>
            <w:tcW w:w="6299" w:type="dxa"/>
            <w:noWrap w:val="0"/>
            <w:vAlign w:val="center"/>
          </w:tcPr>
          <w:p>
            <w:pPr>
              <w:widowControl/>
              <w:spacing w:line="360" w:lineRule="auto"/>
              <w:jc w:val="center"/>
              <w:rPr>
                <w:rFonts w:hint="eastAsia" w:ascii="宋体" w:hAnsi="宋体" w:eastAsia="宋体" w:cs="宋体"/>
                <w:bCs/>
                <w:color w:val="auto"/>
                <w:kern w:val="0"/>
                <w:sz w:val="24"/>
                <w:highlight w:val="none"/>
                <w:lang w:val="en-US" w:eastAsia="zh-CN"/>
              </w:rPr>
            </w:pPr>
            <w:r>
              <w:rPr>
                <w:rFonts w:hint="eastAsia" w:ascii="仿宋_GB2312" w:hAnsi="仿宋_GB2312" w:eastAsia="仿宋_GB2312" w:cs="仿宋_GB2312"/>
                <w:color w:val="auto"/>
                <w:sz w:val="32"/>
                <w:szCs w:val="32"/>
                <w:highlight w:val="none"/>
                <w:lang w:val="en-US" w:eastAsia="zh-CN"/>
              </w:rPr>
              <w:t>DTCGJT-20240911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2" w:hRule="atLeast"/>
        </w:trPr>
        <w:tc>
          <w:tcPr>
            <w:tcW w:w="2816" w:type="dxa"/>
            <w:noWrap w:val="0"/>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kern w:val="0"/>
                <w:sz w:val="22"/>
                <w:szCs w:val="28"/>
                <w:highlight w:val="none"/>
              </w:rPr>
            </w:pPr>
            <w:r>
              <w:rPr>
                <w:rFonts w:hint="eastAsia" w:ascii="仿宋_GB2312" w:hAnsi="仿宋_GB2312" w:eastAsia="仿宋_GB2312" w:cs="仿宋_GB2312"/>
                <w:color w:val="auto"/>
                <w:sz w:val="28"/>
                <w:szCs w:val="28"/>
                <w:highlight w:val="none"/>
                <w:lang w:val="en-US" w:eastAsia="zh-CN"/>
              </w:rPr>
              <w:t>采购项目名称</w:t>
            </w:r>
          </w:p>
        </w:tc>
        <w:tc>
          <w:tcPr>
            <w:tcW w:w="6299" w:type="dxa"/>
            <w:noWrap w:val="0"/>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宋体" w:hAnsi="宋体" w:eastAsia="宋体" w:cs="宋体"/>
                <w:bCs/>
                <w:color w:val="auto"/>
                <w:kern w:val="0"/>
                <w:sz w:val="24"/>
                <w:highlight w:val="none"/>
              </w:rPr>
            </w:pPr>
            <w:r>
              <w:rPr>
                <w:rFonts w:hint="eastAsia" w:ascii="仿宋_GB2312" w:hAnsi="仿宋_GB2312" w:eastAsia="仿宋_GB2312" w:cs="仿宋_GB2312"/>
                <w:color w:val="auto"/>
                <w:sz w:val="28"/>
                <w:szCs w:val="28"/>
                <w:highlight w:val="none"/>
                <w:lang w:val="en-US" w:eastAsia="zh-CN"/>
              </w:rPr>
              <w:t>达州东部经开区生态智慧城综合开发建设项目（供水工程-任家咀取水泵房）航道通航条件影响评价报告编制服务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2" w:hRule="atLeast"/>
        </w:trPr>
        <w:tc>
          <w:tcPr>
            <w:tcW w:w="2816" w:type="dxa"/>
            <w:noWrap w:val="0"/>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kern w:val="0"/>
                <w:sz w:val="28"/>
                <w:szCs w:val="28"/>
                <w:highlight w:val="none"/>
                <w:lang w:val="en-US" w:eastAsia="zh-CN"/>
              </w:rPr>
              <w:t>1.</w:t>
            </w:r>
            <w:r>
              <w:rPr>
                <w:rFonts w:hint="eastAsia" w:ascii="仿宋_GB2312" w:hAnsi="仿宋_GB2312" w:eastAsia="仿宋_GB2312" w:cs="仿宋_GB2312"/>
                <w:color w:val="auto"/>
                <w:sz w:val="28"/>
                <w:szCs w:val="28"/>
                <w:highlight w:val="none"/>
                <w:lang w:val="en-US" w:eastAsia="zh-CN"/>
              </w:rPr>
              <w:t>任家咀取水泵房</w:t>
            </w:r>
            <w:r>
              <w:rPr>
                <w:rFonts w:hint="eastAsia" w:ascii="仿宋_GB2312" w:hAnsi="仿宋_GB2312" w:eastAsia="仿宋_GB2312" w:cs="仿宋_GB2312"/>
                <w:color w:val="auto"/>
                <w:kern w:val="0"/>
                <w:sz w:val="28"/>
                <w:szCs w:val="28"/>
                <w:highlight w:val="none"/>
                <w:lang w:val="en-US" w:eastAsia="zh-CN"/>
              </w:rPr>
              <w:t>航道通航条件影响评价报告编制</w:t>
            </w:r>
          </w:p>
        </w:tc>
        <w:tc>
          <w:tcPr>
            <w:tcW w:w="6299" w:type="dxa"/>
            <w:noWrap w:val="0"/>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宋体" w:hAnsi="宋体" w:eastAsia="宋体" w:cs="宋体"/>
                <w:bCs/>
                <w:color w:val="auto"/>
                <w:kern w:val="0"/>
                <w:sz w:val="24"/>
                <w:highlight w:val="none"/>
              </w:rPr>
            </w:pPr>
            <w:r>
              <w:rPr>
                <w:rFonts w:hint="eastAsia" w:ascii="仿宋_GB2312" w:hAnsi="仿宋_GB2312" w:eastAsia="仿宋_GB2312" w:cs="仿宋_GB2312"/>
                <w:color w:val="auto"/>
                <w:sz w:val="28"/>
                <w:szCs w:val="28"/>
                <w:highlight w:val="none"/>
              </w:rPr>
              <w:t>人民币大写：        （人民币小写：      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2" w:hRule="atLeast"/>
        </w:trPr>
        <w:tc>
          <w:tcPr>
            <w:tcW w:w="2816" w:type="dxa"/>
            <w:noWrap w:val="0"/>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kern w:val="0"/>
                <w:sz w:val="28"/>
                <w:szCs w:val="28"/>
                <w:highlight w:val="none"/>
                <w:lang w:val="en-US" w:eastAsia="zh-CN"/>
              </w:rPr>
              <w:t>2.</w:t>
            </w:r>
            <w:r>
              <w:rPr>
                <w:rFonts w:hint="eastAsia" w:ascii="仿宋_GB2312" w:hAnsi="仿宋_GB2312" w:eastAsia="仿宋_GB2312" w:cs="仿宋_GB2312"/>
                <w:color w:val="auto"/>
                <w:sz w:val="28"/>
                <w:szCs w:val="28"/>
                <w:highlight w:val="none"/>
                <w:lang w:val="en-US" w:eastAsia="zh-CN"/>
              </w:rPr>
              <w:t>任家咀取水泵房</w:t>
            </w:r>
            <w:r>
              <w:rPr>
                <w:rFonts w:hint="eastAsia" w:ascii="仿宋_GB2312" w:hAnsi="仿宋_GB2312" w:eastAsia="仿宋_GB2312" w:cs="仿宋_GB2312"/>
                <w:color w:val="auto"/>
                <w:kern w:val="0"/>
                <w:sz w:val="28"/>
                <w:szCs w:val="28"/>
                <w:highlight w:val="none"/>
                <w:lang w:val="en-US" w:eastAsia="zh-CN"/>
              </w:rPr>
              <w:t>航道通航条件影响评价报告评估</w:t>
            </w:r>
          </w:p>
        </w:tc>
        <w:tc>
          <w:tcPr>
            <w:tcW w:w="6299" w:type="dxa"/>
            <w:noWrap w:val="0"/>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宋体" w:hAnsi="宋体" w:eastAsia="宋体" w:cs="宋体"/>
                <w:bCs/>
                <w:color w:val="auto"/>
                <w:kern w:val="0"/>
                <w:sz w:val="24"/>
                <w:highlight w:val="none"/>
              </w:rPr>
            </w:pPr>
            <w:r>
              <w:rPr>
                <w:rFonts w:hint="eastAsia" w:ascii="仿宋_GB2312" w:hAnsi="仿宋_GB2312" w:eastAsia="仿宋_GB2312" w:cs="仿宋_GB2312"/>
                <w:color w:val="auto"/>
                <w:sz w:val="28"/>
                <w:szCs w:val="28"/>
                <w:highlight w:val="none"/>
              </w:rPr>
              <w:t>人民币大写：        （人民币小写：      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3" w:hRule="atLeast"/>
        </w:trPr>
        <w:tc>
          <w:tcPr>
            <w:tcW w:w="2816" w:type="dxa"/>
            <w:noWrap w:val="0"/>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kern w:val="0"/>
                <w:sz w:val="22"/>
                <w:szCs w:val="28"/>
                <w:highlight w:val="none"/>
              </w:rPr>
            </w:pPr>
            <w:r>
              <w:rPr>
                <w:rFonts w:hint="eastAsia" w:ascii="仿宋_GB2312" w:hAnsi="仿宋_GB2312" w:eastAsia="仿宋_GB2312" w:cs="仿宋_GB2312"/>
                <w:color w:val="auto"/>
                <w:sz w:val="28"/>
                <w:szCs w:val="28"/>
                <w:highlight w:val="none"/>
                <w:lang w:eastAsia="zh-CN"/>
              </w:rPr>
              <w:t>合计</w:t>
            </w:r>
            <w:r>
              <w:rPr>
                <w:rFonts w:hint="eastAsia" w:ascii="仿宋_GB2312" w:hAnsi="仿宋_GB2312" w:eastAsia="仿宋_GB2312" w:cs="仿宋_GB2312"/>
                <w:color w:val="auto"/>
                <w:sz w:val="28"/>
                <w:szCs w:val="28"/>
                <w:highlight w:val="none"/>
              </w:rPr>
              <w:t>报价</w:t>
            </w:r>
          </w:p>
        </w:tc>
        <w:tc>
          <w:tcPr>
            <w:tcW w:w="6299" w:type="dxa"/>
            <w:noWrap w:val="0"/>
            <w:vAlign w:val="center"/>
          </w:tcPr>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4"/>
                <w:highlight w:val="none"/>
                <w:lang w:eastAsia="zh-CN"/>
              </w:rPr>
            </w:pPr>
            <w:r>
              <w:rPr>
                <w:rFonts w:hint="eastAsia" w:ascii="仿宋_GB2312" w:hAnsi="仿宋_GB2312" w:eastAsia="仿宋_GB2312" w:cs="仿宋_GB2312"/>
                <w:color w:val="auto"/>
                <w:sz w:val="28"/>
                <w:szCs w:val="28"/>
                <w:highlight w:val="none"/>
              </w:rPr>
              <w:t>人民币大写：        （人民币小写：      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9" w:hRule="atLeast"/>
        </w:trPr>
        <w:tc>
          <w:tcPr>
            <w:tcW w:w="2816" w:type="dxa"/>
            <w:noWrap w:val="0"/>
            <w:vAlign w:val="center"/>
          </w:tcPr>
          <w:p>
            <w:pPr>
              <w:widowControl/>
              <w:spacing w:line="360" w:lineRule="auto"/>
              <w:jc w:val="center"/>
              <w:rPr>
                <w:rFonts w:hint="default" w:ascii="宋体" w:hAnsi="宋体" w:eastAsia="宋体" w:cs="宋体"/>
                <w:color w:val="auto"/>
                <w:kern w:val="0"/>
                <w:sz w:val="22"/>
                <w:szCs w:val="28"/>
                <w:highlight w:val="none"/>
                <w:lang w:val="en-US" w:eastAsia="zh-CN"/>
              </w:rPr>
            </w:pPr>
            <w:r>
              <w:rPr>
                <w:rFonts w:hint="eastAsia" w:ascii="仿宋_GB2312" w:hAnsi="仿宋_GB2312" w:eastAsia="仿宋_GB2312" w:cs="仿宋_GB2312"/>
                <w:color w:val="auto"/>
                <w:sz w:val="28"/>
                <w:szCs w:val="28"/>
                <w:highlight w:val="none"/>
                <w:lang w:val="en-US" w:eastAsia="zh-CN"/>
              </w:rPr>
              <w:t>备注</w:t>
            </w:r>
          </w:p>
        </w:tc>
        <w:tc>
          <w:tcPr>
            <w:tcW w:w="6299" w:type="dxa"/>
            <w:noWrap w:val="0"/>
            <w:vAlign w:val="center"/>
          </w:tcPr>
          <w:p>
            <w:pPr>
              <w:widowControl/>
              <w:spacing w:line="360" w:lineRule="auto"/>
              <w:rPr>
                <w:rFonts w:hint="eastAsia" w:ascii="宋体" w:hAnsi="宋体" w:eastAsia="宋体" w:cs="宋体"/>
                <w:b/>
                <w:color w:val="auto"/>
                <w:sz w:val="24"/>
                <w:highlight w:val="none"/>
              </w:rPr>
            </w:pPr>
          </w:p>
        </w:tc>
      </w:tr>
    </w:tbl>
    <w:p>
      <w:pPr>
        <w:spacing w:line="578" w:lineRule="exact"/>
        <w:ind w:firstLine="640" w:firstLineChars="200"/>
        <w:jc w:val="left"/>
        <w:rPr>
          <w:rFonts w:ascii="仿宋_GB2312" w:hAnsi="仿宋_GB2312" w:eastAsia="仿宋_GB2312" w:cs="仿宋_GB2312"/>
          <w:color w:val="auto"/>
          <w:highlight w:val="none"/>
        </w:rPr>
      </w:pPr>
    </w:p>
    <w:p>
      <w:pPr>
        <w:spacing w:line="578" w:lineRule="exact"/>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注: 报价应是包括</w:t>
      </w:r>
      <w:r>
        <w:rPr>
          <w:rFonts w:hint="eastAsia" w:ascii="仿宋_GB2312" w:hAnsi="仿宋_GB2312" w:eastAsia="仿宋_GB2312" w:cs="仿宋_GB2312"/>
          <w:color w:val="auto"/>
          <w:highlight w:val="none"/>
          <w:lang w:val="en-US" w:eastAsia="zh-CN"/>
        </w:rPr>
        <w:t>谈判</w:t>
      </w:r>
      <w:r>
        <w:rPr>
          <w:rFonts w:hint="eastAsia" w:ascii="仿宋_GB2312" w:hAnsi="仿宋_GB2312" w:eastAsia="仿宋_GB2312" w:cs="仿宋_GB2312"/>
          <w:color w:val="auto"/>
          <w:highlight w:val="none"/>
        </w:rPr>
        <w:t>文件规定的全部相应内容的报价，因成交供应商报价中遗漏的各种费用均包含在此报价中，成交供应商不得要求另行增加费用。</w:t>
      </w:r>
    </w:p>
    <w:p>
      <w:pPr>
        <w:adjustRightInd w:val="0"/>
        <w:spacing w:line="578" w:lineRule="exact"/>
        <w:ind w:firstLine="800" w:firstLineChars="250"/>
        <w:jc w:val="left"/>
        <w:rPr>
          <w:rFonts w:ascii="仿宋_GB2312" w:hAnsi="仿宋_GB2312" w:eastAsia="仿宋_GB2312" w:cs="仿宋_GB2312"/>
          <w:color w:val="auto"/>
          <w:highlight w:val="none"/>
        </w:rPr>
      </w:pPr>
    </w:p>
    <w:p>
      <w:pPr>
        <w:adjustRightInd w:val="0"/>
        <w:spacing w:line="578" w:lineRule="exact"/>
        <w:ind w:firstLine="800" w:firstLineChars="250"/>
        <w:jc w:val="left"/>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供应商名称：XXX（盖单位公章）</w:t>
      </w:r>
    </w:p>
    <w:p>
      <w:pPr>
        <w:spacing w:line="578" w:lineRule="exact"/>
        <w:ind w:firstLine="822" w:firstLineChars="257"/>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法定代表人或授权代表（签字或盖章）：XXX</w:t>
      </w:r>
    </w:p>
    <w:p>
      <w:pPr>
        <w:spacing w:line="578" w:lineRule="exact"/>
        <w:ind w:firstLine="800" w:firstLineChars="250"/>
        <w:jc w:val="left"/>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日      期：XXX年XXX月XXX日</w:t>
      </w:r>
    </w:p>
    <w:p>
      <w:pPr>
        <w:spacing w:line="578" w:lineRule="exact"/>
        <w:jc w:val="left"/>
        <w:rPr>
          <w:rFonts w:ascii="仿宋_GB2312" w:hAnsi="仿宋_GB2312" w:eastAsia="仿宋_GB2312" w:cs="仿宋_GB2312"/>
          <w:b/>
          <w:color w:val="auto"/>
          <w:highlight w:val="none"/>
        </w:rPr>
        <w:sectPr>
          <w:pgSz w:w="11907" w:h="16839"/>
          <w:pgMar w:top="1440" w:right="1800" w:bottom="1440" w:left="1800" w:header="851" w:footer="992" w:gutter="0"/>
          <w:pgNumType w:fmt="decimal"/>
          <w:cols w:space="720" w:num="1"/>
          <w:docGrid w:type="linesAndChars" w:linePitch="312" w:charSpace="0"/>
        </w:sectPr>
      </w:pPr>
    </w:p>
    <w:p>
      <w:pPr>
        <w:spacing w:line="578" w:lineRule="exact"/>
        <w:jc w:val="left"/>
        <w:rPr>
          <w:rFonts w:ascii="仿宋_GB2312" w:hAnsi="仿宋_GB2312" w:eastAsia="仿宋_GB2312" w:cs="仿宋_GB2312"/>
          <w:b/>
          <w:color w:val="auto"/>
          <w:highlight w:val="none"/>
        </w:rPr>
      </w:pPr>
      <w:r>
        <w:rPr>
          <w:rFonts w:hint="eastAsia" w:ascii="仿宋_GB2312" w:hAnsi="仿宋_GB2312" w:eastAsia="仿宋_GB2312" w:cs="仿宋_GB2312"/>
          <w:b/>
          <w:color w:val="auto"/>
          <w:highlight w:val="none"/>
        </w:rPr>
        <w:t>格式2-4</w:t>
      </w:r>
    </w:p>
    <w:p>
      <w:pPr>
        <w:spacing w:line="578" w:lineRule="exact"/>
        <w:jc w:val="center"/>
        <w:rPr>
          <w:rFonts w:ascii="仿宋_GB2312" w:hAnsi="仿宋_GB2312" w:eastAsia="仿宋_GB2312" w:cs="仿宋_GB2312"/>
          <w:b/>
          <w:bCs/>
          <w:color w:val="auto"/>
          <w:highlight w:val="none"/>
        </w:rPr>
      </w:pPr>
      <w:r>
        <w:rPr>
          <w:rFonts w:hint="eastAsia" w:ascii="仿宋_GB2312" w:hAnsi="仿宋_GB2312" w:eastAsia="仿宋_GB2312" w:cs="仿宋_GB2312"/>
          <w:b/>
          <w:bCs/>
          <w:color w:val="auto"/>
          <w:highlight w:val="none"/>
        </w:rPr>
        <w:t>技术、服务要求应答表</w:t>
      </w:r>
    </w:p>
    <w:p>
      <w:pPr>
        <w:spacing w:line="578" w:lineRule="exact"/>
        <w:jc w:val="center"/>
        <w:rPr>
          <w:rFonts w:ascii="仿宋_GB2312" w:hAnsi="仿宋_GB2312" w:eastAsia="仿宋_GB2312" w:cs="仿宋_GB2312"/>
          <w:b/>
          <w:bCs/>
          <w:color w:val="auto"/>
          <w:highlight w:val="none"/>
        </w:rPr>
      </w:pPr>
    </w:p>
    <w:tbl>
      <w:tblPr>
        <w:tblStyle w:val="11"/>
        <w:tblW w:w="854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44"/>
        <w:gridCol w:w="2745"/>
        <w:gridCol w:w="2552"/>
        <w:gridCol w:w="19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jc w:val="center"/>
        </w:trPr>
        <w:tc>
          <w:tcPr>
            <w:tcW w:w="1344" w:type="dxa"/>
            <w:vAlign w:val="center"/>
          </w:tcPr>
          <w:p>
            <w:pPr>
              <w:spacing w:line="578" w:lineRule="exact"/>
              <w:jc w:val="center"/>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序号</w:t>
            </w:r>
          </w:p>
        </w:tc>
        <w:tc>
          <w:tcPr>
            <w:tcW w:w="2745" w:type="dxa"/>
            <w:vAlign w:val="center"/>
          </w:tcPr>
          <w:p>
            <w:pPr>
              <w:spacing w:line="578" w:lineRule="exact"/>
              <w:jc w:val="center"/>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谈判文件要求</w:t>
            </w:r>
          </w:p>
        </w:tc>
        <w:tc>
          <w:tcPr>
            <w:tcW w:w="2552" w:type="dxa"/>
            <w:vAlign w:val="center"/>
          </w:tcPr>
          <w:p>
            <w:pPr>
              <w:spacing w:line="578" w:lineRule="exact"/>
              <w:jc w:val="center"/>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响应文件响应</w:t>
            </w:r>
          </w:p>
        </w:tc>
        <w:tc>
          <w:tcPr>
            <w:tcW w:w="1905" w:type="dxa"/>
            <w:vAlign w:val="center"/>
          </w:tcPr>
          <w:p>
            <w:pPr>
              <w:spacing w:line="578" w:lineRule="exact"/>
              <w:jc w:val="center"/>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6" w:hRule="atLeast"/>
          <w:jc w:val="center"/>
        </w:trPr>
        <w:tc>
          <w:tcPr>
            <w:tcW w:w="1344" w:type="dxa"/>
            <w:vAlign w:val="center"/>
          </w:tcPr>
          <w:p>
            <w:pPr>
              <w:spacing w:line="578" w:lineRule="exact"/>
              <w:jc w:val="center"/>
              <w:rPr>
                <w:rFonts w:ascii="仿宋_GB2312" w:hAnsi="仿宋_GB2312" w:eastAsia="仿宋_GB2312" w:cs="仿宋_GB2312"/>
                <w:color w:val="auto"/>
                <w:highlight w:val="none"/>
              </w:rPr>
            </w:pPr>
          </w:p>
        </w:tc>
        <w:tc>
          <w:tcPr>
            <w:tcW w:w="2745" w:type="dxa"/>
            <w:vAlign w:val="center"/>
          </w:tcPr>
          <w:p>
            <w:pPr>
              <w:spacing w:line="578" w:lineRule="exact"/>
              <w:jc w:val="center"/>
              <w:rPr>
                <w:rFonts w:ascii="仿宋_GB2312" w:hAnsi="仿宋_GB2312" w:eastAsia="仿宋_GB2312" w:cs="仿宋_GB2312"/>
                <w:color w:val="auto"/>
                <w:highlight w:val="none"/>
              </w:rPr>
            </w:pPr>
          </w:p>
        </w:tc>
        <w:tc>
          <w:tcPr>
            <w:tcW w:w="2552" w:type="dxa"/>
            <w:vAlign w:val="center"/>
          </w:tcPr>
          <w:p>
            <w:pPr>
              <w:spacing w:line="578" w:lineRule="exact"/>
              <w:jc w:val="center"/>
              <w:rPr>
                <w:rFonts w:ascii="仿宋_GB2312" w:hAnsi="仿宋_GB2312" w:eastAsia="仿宋_GB2312" w:cs="仿宋_GB2312"/>
                <w:color w:val="auto"/>
                <w:highlight w:val="none"/>
              </w:rPr>
            </w:pPr>
          </w:p>
        </w:tc>
        <w:tc>
          <w:tcPr>
            <w:tcW w:w="1905" w:type="dxa"/>
            <w:vAlign w:val="center"/>
          </w:tcPr>
          <w:p>
            <w:pPr>
              <w:spacing w:line="578" w:lineRule="exact"/>
              <w:jc w:val="center"/>
              <w:rPr>
                <w:rFonts w:ascii="仿宋_GB2312" w:hAnsi="仿宋_GB2312" w:eastAsia="仿宋_GB2312" w:cs="仿宋_GB2312"/>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6" w:hRule="atLeast"/>
          <w:jc w:val="center"/>
        </w:trPr>
        <w:tc>
          <w:tcPr>
            <w:tcW w:w="1344" w:type="dxa"/>
            <w:vAlign w:val="center"/>
          </w:tcPr>
          <w:p>
            <w:pPr>
              <w:spacing w:line="578" w:lineRule="exact"/>
              <w:jc w:val="center"/>
              <w:rPr>
                <w:rFonts w:ascii="仿宋_GB2312" w:hAnsi="仿宋_GB2312" w:eastAsia="仿宋_GB2312" w:cs="仿宋_GB2312"/>
                <w:color w:val="auto"/>
                <w:highlight w:val="none"/>
              </w:rPr>
            </w:pPr>
          </w:p>
        </w:tc>
        <w:tc>
          <w:tcPr>
            <w:tcW w:w="2745" w:type="dxa"/>
            <w:vAlign w:val="center"/>
          </w:tcPr>
          <w:p>
            <w:pPr>
              <w:spacing w:line="578" w:lineRule="exact"/>
              <w:jc w:val="center"/>
              <w:rPr>
                <w:rFonts w:ascii="仿宋_GB2312" w:hAnsi="仿宋_GB2312" w:eastAsia="仿宋_GB2312" w:cs="仿宋_GB2312"/>
                <w:color w:val="auto"/>
                <w:highlight w:val="none"/>
              </w:rPr>
            </w:pPr>
          </w:p>
        </w:tc>
        <w:tc>
          <w:tcPr>
            <w:tcW w:w="2552" w:type="dxa"/>
            <w:vAlign w:val="center"/>
          </w:tcPr>
          <w:p>
            <w:pPr>
              <w:spacing w:line="578" w:lineRule="exact"/>
              <w:jc w:val="center"/>
              <w:rPr>
                <w:rFonts w:ascii="仿宋_GB2312" w:hAnsi="仿宋_GB2312" w:eastAsia="仿宋_GB2312" w:cs="仿宋_GB2312"/>
                <w:color w:val="auto"/>
                <w:highlight w:val="none"/>
              </w:rPr>
            </w:pPr>
          </w:p>
        </w:tc>
        <w:tc>
          <w:tcPr>
            <w:tcW w:w="1905" w:type="dxa"/>
            <w:vAlign w:val="center"/>
          </w:tcPr>
          <w:p>
            <w:pPr>
              <w:spacing w:line="578" w:lineRule="exact"/>
              <w:jc w:val="center"/>
              <w:rPr>
                <w:rFonts w:ascii="仿宋_GB2312" w:hAnsi="仿宋_GB2312" w:eastAsia="仿宋_GB2312" w:cs="仿宋_GB2312"/>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6" w:hRule="atLeast"/>
          <w:jc w:val="center"/>
        </w:trPr>
        <w:tc>
          <w:tcPr>
            <w:tcW w:w="1344" w:type="dxa"/>
            <w:vAlign w:val="center"/>
          </w:tcPr>
          <w:p>
            <w:pPr>
              <w:spacing w:line="578" w:lineRule="exact"/>
              <w:jc w:val="center"/>
              <w:rPr>
                <w:rFonts w:ascii="仿宋_GB2312" w:hAnsi="仿宋_GB2312" w:eastAsia="仿宋_GB2312" w:cs="仿宋_GB2312"/>
                <w:color w:val="auto"/>
                <w:highlight w:val="none"/>
              </w:rPr>
            </w:pPr>
          </w:p>
        </w:tc>
        <w:tc>
          <w:tcPr>
            <w:tcW w:w="2745" w:type="dxa"/>
            <w:vAlign w:val="center"/>
          </w:tcPr>
          <w:p>
            <w:pPr>
              <w:spacing w:line="578" w:lineRule="exact"/>
              <w:jc w:val="center"/>
              <w:rPr>
                <w:rFonts w:ascii="仿宋_GB2312" w:hAnsi="仿宋_GB2312" w:eastAsia="仿宋_GB2312" w:cs="仿宋_GB2312"/>
                <w:color w:val="auto"/>
                <w:highlight w:val="none"/>
              </w:rPr>
            </w:pPr>
          </w:p>
        </w:tc>
        <w:tc>
          <w:tcPr>
            <w:tcW w:w="2552" w:type="dxa"/>
            <w:vAlign w:val="center"/>
          </w:tcPr>
          <w:p>
            <w:pPr>
              <w:spacing w:line="578" w:lineRule="exact"/>
              <w:jc w:val="center"/>
              <w:rPr>
                <w:rFonts w:ascii="仿宋_GB2312" w:hAnsi="仿宋_GB2312" w:eastAsia="仿宋_GB2312" w:cs="仿宋_GB2312"/>
                <w:color w:val="auto"/>
                <w:highlight w:val="none"/>
              </w:rPr>
            </w:pPr>
          </w:p>
        </w:tc>
        <w:tc>
          <w:tcPr>
            <w:tcW w:w="1905" w:type="dxa"/>
            <w:vAlign w:val="center"/>
          </w:tcPr>
          <w:p>
            <w:pPr>
              <w:spacing w:line="578" w:lineRule="exact"/>
              <w:jc w:val="center"/>
              <w:rPr>
                <w:rFonts w:ascii="仿宋_GB2312" w:hAnsi="仿宋_GB2312" w:eastAsia="仿宋_GB2312" w:cs="仿宋_GB2312"/>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6" w:hRule="atLeast"/>
          <w:jc w:val="center"/>
        </w:trPr>
        <w:tc>
          <w:tcPr>
            <w:tcW w:w="1344" w:type="dxa"/>
            <w:vAlign w:val="center"/>
          </w:tcPr>
          <w:p>
            <w:pPr>
              <w:spacing w:line="578" w:lineRule="exact"/>
              <w:jc w:val="center"/>
              <w:rPr>
                <w:rFonts w:ascii="仿宋_GB2312" w:hAnsi="仿宋_GB2312" w:eastAsia="仿宋_GB2312" w:cs="仿宋_GB2312"/>
                <w:color w:val="auto"/>
                <w:highlight w:val="none"/>
              </w:rPr>
            </w:pPr>
          </w:p>
        </w:tc>
        <w:tc>
          <w:tcPr>
            <w:tcW w:w="2745" w:type="dxa"/>
            <w:vAlign w:val="center"/>
          </w:tcPr>
          <w:p>
            <w:pPr>
              <w:spacing w:line="578" w:lineRule="exact"/>
              <w:jc w:val="center"/>
              <w:rPr>
                <w:rFonts w:ascii="仿宋_GB2312" w:hAnsi="仿宋_GB2312" w:eastAsia="仿宋_GB2312" w:cs="仿宋_GB2312"/>
                <w:color w:val="auto"/>
                <w:highlight w:val="none"/>
              </w:rPr>
            </w:pPr>
          </w:p>
        </w:tc>
        <w:tc>
          <w:tcPr>
            <w:tcW w:w="2552" w:type="dxa"/>
            <w:vAlign w:val="center"/>
          </w:tcPr>
          <w:p>
            <w:pPr>
              <w:spacing w:line="578" w:lineRule="exact"/>
              <w:jc w:val="center"/>
              <w:rPr>
                <w:rFonts w:ascii="仿宋_GB2312" w:hAnsi="仿宋_GB2312" w:eastAsia="仿宋_GB2312" w:cs="仿宋_GB2312"/>
                <w:color w:val="auto"/>
                <w:highlight w:val="none"/>
              </w:rPr>
            </w:pPr>
          </w:p>
        </w:tc>
        <w:tc>
          <w:tcPr>
            <w:tcW w:w="1905" w:type="dxa"/>
            <w:vAlign w:val="center"/>
          </w:tcPr>
          <w:p>
            <w:pPr>
              <w:spacing w:line="578" w:lineRule="exact"/>
              <w:jc w:val="center"/>
              <w:rPr>
                <w:rFonts w:ascii="仿宋_GB2312" w:hAnsi="仿宋_GB2312" w:eastAsia="仿宋_GB2312" w:cs="仿宋_GB2312"/>
                <w:color w:val="auto"/>
                <w:highlight w:val="none"/>
              </w:rPr>
            </w:pPr>
          </w:p>
        </w:tc>
      </w:tr>
    </w:tbl>
    <w:p>
      <w:pPr>
        <w:spacing w:line="578" w:lineRule="exact"/>
        <w:ind w:firstLine="640" w:firstLineChars="200"/>
        <w:rPr>
          <w:rFonts w:ascii="仿宋_GB2312" w:hAnsi="仿宋_GB2312" w:eastAsia="仿宋_GB2312" w:cs="仿宋_GB2312"/>
          <w:b/>
          <w:color w:val="auto"/>
          <w:highlight w:val="none"/>
        </w:rPr>
      </w:pPr>
      <w:r>
        <w:rPr>
          <w:rFonts w:hint="eastAsia" w:ascii="仿宋_GB2312" w:hAnsi="仿宋_GB2312" w:eastAsia="仿宋_GB2312" w:cs="仿宋_GB2312"/>
          <w:color w:val="auto"/>
          <w:highlight w:val="none"/>
        </w:rPr>
        <w:t>注：1、供应商必须根据谈判文件要求据实逐条填写，不得虚假响应，虚假响应的，其响应文件无效并按规定追究其相关责任。</w:t>
      </w:r>
    </w:p>
    <w:p>
      <w:pPr>
        <w:adjustRightInd w:val="0"/>
        <w:spacing w:line="578" w:lineRule="exact"/>
        <w:ind w:firstLine="640" w:firstLineChars="200"/>
        <w:jc w:val="left"/>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供应商名称：XXX（盖单位公章）</w:t>
      </w:r>
    </w:p>
    <w:p>
      <w:pPr>
        <w:adjustRightInd w:val="0"/>
        <w:spacing w:line="578" w:lineRule="exact"/>
        <w:ind w:firstLine="640" w:firstLineChars="200"/>
        <w:jc w:val="left"/>
        <w:rPr>
          <w:rFonts w:ascii="仿宋_GB2312" w:hAnsi="仿宋_GB2312" w:eastAsia="仿宋_GB2312" w:cs="仿宋_GB2312"/>
          <w:bCs/>
          <w:color w:val="auto"/>
          <w:highlight w:val="none"/>
        </w:rPr>
      </w:pPr>
      <w:r>
        <w:rPr>
          <w:rFonts w:hint="eastAsia" w:ascii="仿宋_GB2312" w:hAnsi="仿宋_GB2312" w:eastAsia="仿宋_GB2312" w:cs="仿宋_GB2312"/>
          <w:bCs/>
          <w:color w:val="auto"/>
          <w:highlight w:val="none"/>
        </w:rPr>
        <w:t>法定代表人或授权代表（签字或盖章）：XXX</w:t>
      </w:r>
    </w:p>
    <w:p>
      <w:pPr>
        <w:adjustRightInd w:val="0"/>
        <w:spacing w:line="578" w:lineRule="exact"/>
        <w:ind w:firstLine="720" w:firstLineChars="225"/>
        <w:jc w:val="left"/>
        <w:rPr>
          <w:rFonts w:ascii="仿宋_GB2312" w:hAnsi="仿宋_GB2312" w:eastAsia="仿宋_GB2312" w:cs="仿宋_GB2312"/>
          <w:bCs/>
          <w:color w:val="auto"/>
          <w:highlight w:val="none"/>
        </w:rPr>
      </w:pPr>
      <w:r>
        <w:rPr>
          <w:rFonts w:hint="eastAsia" w:ascii="仿宋_GB2312" w:hAnsi="仿宋_GB2312" w:eastAsia="仿宋_GB2312" w:cs="仿宋_GB2312"/>
          <w:bCs/>
          <w:color w:val="auto"/>
          <w:highlight w:val="none"/>
        </w:rPr>
        <w:t>日  期</w:t>
      </w:r>
      <w:r>
        <w:rPr>
          <w:rFonts w:hint="eastAsia" w:ascii="仿宋_GB2312" w:hAnsi="仿宋_GB2312" w:eastAsia="仿宋_GB2312" w:cs="仿宋_GB2312"/>
          <w:color w:val="auto"/>
          <w:highlight w:val="none"/>
        </w:rPr>
        <w:t>：</w:t>
      </w:r>
      <w:r>
        <w:rPr>
          <w:rFonts w:hint="eastAsia" w:ascii="仿宋_GB2312" w:hAnsi="仿宋_GB2312" w:eastAsia="仿宋_GB2312" w:cs="仿宋_GB2312"/>
          <w:bCs/>
          <w:color w:val="auto"/>
          <w:highlight w:val="none"/>
        </w:rPr>
        <w:t>XXX年XXX月XXX日</w:t>
      </w:r>
    </w:p>
    <w:p>
      <w:pPr>
        <w:spacing w:line="578" w:lineRule="exact"/>
        <w:jc w:val="center"/>
        <w:rPr>
          <w:rFonts w:ascii="仿宋_GB2312" w:hAnsi="仿宋_GB2312" w:eastAsia="仿宋_GB2312" w:cs="仿宋_GB2312"/>
          <w:color w:val="auto"/>
          <w:highlight w:val="none"/>
        </w:rPr>
      </w:pPr>
    </w:p>
    <w:p>
      <w:pPr>
        <w:spacing w:line="578" w:lineRule="exact"/>
        <w:rPr>
          <w:rFonts w:ascii="仿宋_GB2312" w:hAnsi="仿宋_GB2312" w:eastAsia="仿宋_GB2312" w:cs="仿宋_GB2312"/>
          <w:b/>
          <w:color w:val="auto"/>
          <w:highlight w:val="none"/>
        </w:rPr>
        <w:sectPr>
          <w:pgSz w:w="11907" w:h="16839"/>
          <w:pgMar w:top="1440" w:right="1800" w:bottom="1440" w:left="1800" w:header="851" w:footer="992" w:gutter="0"/>
          <w:pgNumType w:fmt="decimal"/>
          <w:cols w:space="720" w:num="1"/>
          <w:docGrid w:type="linesAndChars" w:linePitch="312" w:charSpace="0"/>
        </w:sectPr>
      </w:pPr>
    </w:p>
    <w:p>
      <w:pPr>
        <w:spacing w:line="578" w:lineRule="exact"/>
        <w:rPr>
          <w:rFonts w:ascii="仿宋_GB2312" w:hAnsi="仿宋_GB2312" w:eastAsia="仿宋_GB2312" w:cs="仿宋_GB2312"/>
          <w:b/>
          <w:color w:val="auto"/>
          <w:highlight w:val="none"/>
        </w:rPr>
      </w:pPr>
      <w:r>
        <w:rPr>
          <w:rFonts w:hint="eastAsia" w:ascii="仿宋_GB2312" w:hAnsi="仿宋_GB2312" w:eastAsia="仿宋_GB2312" w:cs="仿宋_GB2312"/>
          <w:b/>
          <w:color w:val="auto"/>
          <w:highlight w:val="none"/>
        </w:rPr>
        <w:t>格式2-5</w:t>
      </w:r>
    </w:p>
    <w:p>
      <w:pPr>
        <w:spacing w:line="578" w:lineRule="exact"/>
        <w:jc w:val="center"/>
        <w:rPr>
          <w:rFonts w:ascii="仿宋_GB2312" w:hAnsi="仿宋_GB2312" w:eastAsia="仿宋_GB2312" w:cs="仿宋_GB2312"/>
          <w:b/>
          <w:color w:val="auto"/>
          <w:highlight w:val="none"/>
        </w:rPr>
      </w:pPr>
      <w:r>
        <w:rPr>
          <w:rFonts w:hint="eastAsia" w:ascii="仿宋_GB2312" w:hAnsi="仿宋_GB2312" w:eastAsia="仿宋_GB2312" w:cs="仿宋_GB2312"/>
          <w:b/>
          <w:color w:val="auto"/>
          <w:highlight w:val="none"/>
        </w:rPr>
        <w:t>商务应答表</w:t>
      </w:r>
    </w:p>
    <w:p>
      <w:pPr>
        <w:spacing w:line="578" w:lineRule="exact"/>
        <w:jc w:val="center"/>
        <w:rPr>
          <w:rFonts w:ascii="仿宋_GB2312" w:hAnsi="仿宋_GB2312" w:eastAsia="仿宋_GB2312" w:cs="仿宋_GB2312"/>
          <w:b/>
          <w:color w:val="auto"/>
          <w:highlight w:val="none"/>
        </w:rPr>
      </w:pPr>
    </w:p>
    <w:tbl>
      <w:tblPr>
        <w:tblStyle w:val="11"/>
        <w:tblW w:w="910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32"/>
        <w:gridCol w:w="2924"/>
        <w:gridCol w:w="2718"/>
        <w:gridCol w:w="202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jc w:val="center"/>
        </w:trPr>
        <w:tc>
          <w:tcPr>
            <w:tcW w:w="1432" w:type="dxa"/>
            <w:vAlign w:val="center"/>
          </w:tcPr>
          <w:p>
            <w:pPr>
              <w:spacing w:line="578" w:lineRule="exact"/>
              <w:jc w:val="center"/>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序号</w:t>
            </w:r>
          </w:p>
        </w:tc>
        <w:tc>
          <w:tcPr>
            <w:tcW w:w="2924" w:type="dxa"/>
            <w:vAlign w:val="center"/>
          </w:tcPr>
          <w:p>
            <w:pPr>
              <w:spacing w:line="578" w:lineRule="exact"/>
              <w:jc w:val="center"/>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谈判文件要求</w:t>
            </w:r>
          </w:p>
        </w:tc>
        <w:tc>
          <w:tcPr>
            <w:tcW w:w="2718" w:type="dxa"/>
            <w:vAlign w:val="center"/>
          </w:tcPr>
          <w:p>
            <w:pPr>
              <w:spacing w:line="578" w:lineRule="exact"/>
              <w:jc w:val="center"/>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响应文件响应</w:t>
            </w:r>
          </w:p>
        </w:tc>
        <w:tc>
          <w:tcPr>
            <w:tcW w:w="2029" w:type="dxa"/>
            <w:vAlign w:val="center"/>
          </w:tcPr>
          <w:p>
            <w:pPr>
              <w:spacing w:line="578" w:lineRule="exact"/>
              <w:jc w:val="center"/>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0" w:hRule="atLeast"/>
          <w:jc w:val="center"/>
        </w:trPr>
        <w:tc>
          <w:tcPr>
            <w:tcW w:w="1432" w:type="dxa"/>
            <w:vAlign w:val="center"/>
          </w:tcPr>
          <w:p>
            <w:pPr>
              <w:spacing w:line="578" w:lineRule="exact"/>
              <w:jc w:val="center"/>
              <w:rPr>
                <w:rFonts w:ascii="仿宋_GB2312" w:hAnsi="仿宋_GB2312" w:eastAsia="仿宋_GB2312" w:cs="仿宋_GB2312"/>
                <w:color w:val="auto"/>
                <w:highlight w:val="none"/>
              </w:rPr>
            </w:pPr>
          </w:p>
        </w:tc>
        <w:tc>
          <w:tcPr>
            <w:tcW w:w="2924" w:type="dxa"/>
            <w:vAlign w:val="center"/>
          </w:tcPr>
          <w:p>
            <w:pPr>
              <w:spacing w:line="578" w:lineRule="exact"/>
              <w:jc w:val="center"/>
              <w:rPr>
                <w:rFonts w:ascii="仿宋_GB2312" w:hAnsi="仿宋_GB2312" w:eastAsia="仿宋_GB2312" w:cs="仿宋_GB2312"/>
                <w:color w:val="auto"/>
                <w:highlight w:val="none"/>
              </w:rPr>
            </w:pPr>
          </w:p>
        </w:tc>
        <w:tc>
          <w:tcPr>
            <w:tcW w:w="2718" w:type="dxa"/>
            <w:vAlign w:val="center"/>
          </w:tcPr>
          <w:p>
            <w:pPr>
              <w:spacing w:line="578" w:lineRule="exact"/>
              <w:jc w:val="center"/>
              <w:rPr>
                <w:rFonts w:ascii="仿宋_GB2312" w:hAnsi="仿宋_GB2312" w:eastAsia="仿宋_GB2312" w:cs="仿宋_GB2312"/>
                <w:color w:val="auto"/>
                <w:highlight w:val="none"/>
              </w:rPr>
            </w:pPr>
          </w:p>
        </w:tc>
        <w:tc>
          <w:tcPr>
            <w:tcW w:w="2029" w:type="dxa"/>
            <w:vAlign w:val="center"/>
          </w:tcPr>
          <w:p>
            <w:pPr>
              <w:spacing w:line="578" w:lineRule="exact"/>
              <w:jc w:val="center"/>
              <w:rPr>
                <w:rFonts w:ascii="仿宋_GB2312" w:hAnsi="仿宋_GB2312" w:eastAsia="仿宋_GB2312" w:cs="仿宋_GB2312"/>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0" w:hRule="atLeast"/>
          <w:jc w:val="center"/>
        </w:trPr>
        <w:tc>
          <w:tcPr>
            <w:tcW w:w="1432" w:type="dxa"/>
            <w:vAlign w:val="center"/>
          </w:tcPr>
          <w:p>
            <w:pPr>
              <w:spacing w:line="578" w:lineRule="exact"/>
              <w:jc w:val="center"/>
              <w:rPr>
                <w:rFonts w:ascii="仿宋_GB2312" w:hAnsi="仿宋_GB2312" w:eastAsia="仿宋_GB2312" w:cs="仿宋_GB2312"/>
                <w:color w:val="auto"/>
                <w:highlight w:val="none"/>
              </w:rPr>
            </w:pPr>
          </w:p>
        </w:tc>
        <w:tc>
          <w:tcPr>
            <w:tcW w:w="2924" w:type="dxa"/>
            <w:vAlign w:val="center"/>
          </w:tcPr>
          <w:p>
            <w:pPr>
              <w:spacing w:line="578" w:lineRule="exact"/>
              <w:jc w:val="center"/>
              <w:rPr>
                <w:rFonts w:ascii="仿宋_GB2312" w:hAnsi="仿宋_GB2312" w:eastAsia="仿宋_GB2312" w:cs="仿宋_GB2312"/>
                <w:color w:val="auto"/>
                <w:highlight w:val="none"/>
              </w:rPr>
            </w:pPr>
          </w:p>
        </w:tc>
        <w:tc>
          <w:tcPr>
            <w:tcW w:w="2718" w:type="dxa"/>
            <w:vAlign w:val="center"/>
          </w:tcPr>
          <w:p>
            <w:pPr>
              <w:spacing w:line="578" w:lineRule="exact"/>
              <w:jc w:val="center"/>
              <w:rPr>
                <w:rFonts w:ascii="仿宋_GB2312" w:hAnsi="仿宋_GB2312" w:eastAsia="仿宋_GB2312" w:cs="仿宋_GB2312"/>
                <w:color w:val="auto"/>
                <w:highlight w:val="none"/>
              </w:rPr>
            </w:pPr>
          </w:p>
        </w:tc>
        <w:tc>
          <w:tcPr>
            <w:tcW w:w="2029" w:type="dxa"/>
            <w:vAlign w:val="center"/>
          </w:tcPr>
          <w:p>
            <w:pPr>
              <w:spacing w:line="578" w:lineRule="exact"/>
              <w:jc w:val="center"/>
              <w:rPr>
                <w:rFonts w:ascii="仿宋_GB2312" w:hAnsi="仿宋_GB2312" w:eastAsia="仿宋_GB2312" w:cs="仿宋_GB2312"/>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0" w:hRule="atLeast"/>
          <w:jc w:val="center"/>
        </w:trPr>
        <w:tc>
          <w:tcPr>
            <w:tcW w:w="1432" w:type="dxa"/>
            <w:vAlign w:val="center"/>
          </w:tcPr>
          <w:p>
            <w:pPr>
              <w:spacing w:line="578" w:lineRule="exact"/>
              <w:jc w:val="center"/>
              <w:rPr>
                <w:rFonts w:ascii="仿宋_GB2312" w:hAnsi="仿宋_GB2312" w:eastAsia="仿宋_GB2312" w:cs="仿宋_GB2312"/>
                <w:color w:val="auto"/>
                <w:highlight w:val="none"/>
              </w:rPr>
            </w:pPr>
          </w:p>
        </w:tc>
        <w:tc>
          <w:tcPr>
            <w:tcW w:w="2924" w:type="dxa"/>
            <w:vAlign w:val="center"/>
          </w:tcPr>
          <w:p>
            <w:pPr>
              <w:spacing w:line="578" w:lineRule="exact"/>
              <w:jc w:val="center"/>
              <w:rPr>
                <w:rFonts w:ascii="仿宋_GB2312" w:hAnsi="仿宋_GB2312" w:eastAsia="仿宋_GB2312" w:cs="仿宋_GB2312"/>
                <w:color w:val="auto"/>
                <w:highlight w:val="none"/>
              </w:rPr>
            </w:pPr>
          </w:p>
        </w:tc>
        <w:tc>
          <w:tcPr>
            <w:tcW w:w="2718" w:type="dxa"/>
            <w:vAlign w:val="center"/>
          </w:tcPr>
          <w:p>
            <w:pPr>
              <w:spacing w:line="578" w:lineRule="exact"/>
              <w:jc w:val="center"/>
              <w:rPr>
                <w:rFonts w:ascii="仿宋_GB2312" w:hAnsi="仿宋_GB2312" w:eastAsia="仿宋_GB2312" w:cs="仿宋_GB2312"/>
                <w:color w:val="auto"/>
                <w:highlight w:val="none"/>
              </w:rPr>
            </w:pPr>
          </w:p>
        </w:tc>
        <w:tc>
          <w:tcPr>
            <w:tcW w:w="2029" w:type="dxa"/>
            <w:vAlign w:val="center"/>
          </w:tcPr>
          <w:p>
            <w:pPr>
              <w:spacing w:line="578" w:lineRule="exact"/>
              <w:jc w:val="center"/>
              <w:rPr>
                <w:rFonts w:ascii="仿宋_GB2312" w:hAnsi="仿宋_GB2312" w:eastAsia="仿宋_GB2312" w:cs="仿宋_GB2312"/>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0" w:hRule="atLeast"/>
          <w:jc w:val="center"/>
        </w:trPr>
        <w:tc>
          <w:tcPr>
            <w:tcW w:w="1432" w:type="dxa"/>
            <w:vAlign w:val="center"/>
          </w:tcPr>
          <w:p>
            <w:pPr>
              <w:spacing w:line="578" w:lineRule="exact"/>
              <w:jc w:val="center"/>
              <w:rPr>
                <w:rFonts w:ascii="仿宋_GB2312" w:hAnsi="仿宋_GB2312" w:eastAsia="仿宋_GB2312" w:cs="仿宋_GB2312"/>
                <w:color w:val="auto"/>
                <w:highlight w:val="none"/>
              </w:rPr>
            </w:pPr>
          </w:p>
        </w:tc>
        <w:tc>
          <w:tcPr>
            <w:tcW w:w="2924" w:type="dxa"/>
            <w:vAlign w:val="center"/>
          </w:tcPr>
          <w:p>
            <w:pPr>
              <w:spacing w:line="578" w:lineRule="exact"/>
              <w:jc w:val="center"/>
              <w:rPr>
                <w:rFonts w:ascii="仿宋_GB2312" w:hAnsi="仿宋_GB2312" w:eastAsia="仿宋_GB2312" w:cs="仿宋_GB2312"/>
                <w:color w:val="auto"/>
                <w:highlight w:val="none"/>
              </w:rPr>
            </w:pPr>
          </w:p>
        </w:tc>
        <w:tc>
          <w:tcPr>
            <w:tcW w:w="2718" w:type="dxa"/>
            <w:vAlign w:val="center"/>
          </w:tcPr>
          <w:p>
            <w:pPr>
              <w:spacing w:line="578" w:lineRule="exact"/>
              <w:jc w:val="center"/>
              <w:rPr>
                <w:rFonts w:ascii="仿宋_GB2312" w:hAnsi="仿宋_GB2312" w:eastAsia="仿宋_GB2312" w:cs="仿宋_GB2312"/>
                <w:color w:val="auto"/>
                <w:highlight w:val="none"/>
              </w:rPr>
            </w:pPr>
          </w:p>
        </w:tc>
        <w:tc>
          <w:tcPr>
            <w:tcW w:w="2029" w:type="dxa"/>
            <w:vAlign w:val="center"/>
          </w:tcPr>
          <w:p>
            <w:pPr>
              <w:spacing w:line="578" w:lineRule="exact"/>
              <w:jc w:val="center"/>
              <w:rPr>
                <w:rFonts w:ascii="仿宋_GB2312" w:hAnsi="仿宋_GB2312" w:eastAsia="仿宋_GB2312" w:cs="仿宋_GB2312"/>
                <w:color w:val="auto"/>
                <w:highlight w:val="none"/>
              </w:rPr>
            </w:pPr>
          </w:p>
        </w:tc>
      </w:tr>
    </w:tbl>
    <w:p>
      <w:pPr>
        <w:spacing w:line="578" w:lineRule="exact"/>
        <w:ind w:firstLine="640" w:firstLineChars="200"/>
        <w:rPr>
          <w:rFonts w:ascii="仿宋_GB2312" w:hAnsi="仿宋_GB2312" w:eastAsia="仿宋_GB2312" w:cs="仿宋_GB2312"/>
          <w:b/>
          <w:color w:val="auto"/>
          <w:highlight w:val="none"/>
        </w:rPr>
      </w:pPr>
      <w:r>
        <w:rPr>
          <w:rFonts w:hint="eastAsia" w:ascii="仿宋_GB2312" w:hAnsi="仿宋_GB2312" w:eastAsia="仿宋_GB2312" w:cs="仿宋_GB2312"/>
          <w:color w:val="auto"/>
          <w:highlight w:val="none"/>
        </w:rPr>
        <w:t>注：供应商必须根据谈判文件要求据实逐条填写，不得虚假响应，虚假响应的，其响应文件无效并按规定追究其相关责任。</w:t>
      </w:r>
    </w:p>
    <w:p>
      <w:pPr>
        <w:spacing w:line="578" w:lineRule="exact"/>
        <w:rPr>
          <w:rFonts w:ascii="仿宋_GB2312" w:hAnsi="仿宋_GB2312" w:eastAsia="仿宋_GB2312" w:cs="仿宋_GB2312"/>
          <w:b/>
          <w:bCs/>
          <w:color w:val="auto"/>
          <w:highlight w:val="none"/>
        </w:rPr>
      </w:pPr>
    </w:p>
    <w:p>
      <w:pPr>
        <w:adjustRightInd w:val="0"/>
        <w:spacing w:line="578" w:lineRule="exact"/>
        <w:ind w:firstLine="640" w:firstLineChars="200"/>
        <w:jc w:val="left"/>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供应商名称：XXX（盖单位公章）</w:t>
      </w:r>
    </w:p>
    <w:p>
      <w:pPr>
        <w:adjustRightInd w:val="0"/>
        <w:spacing w:line="578" w:lineRule="exact"/>
        <w:ind w:firstLine="640" w:firstLineChars="200"/>
        <w:jc w:val="left"/>
        <w:rPr>
          <w:rFonts w:ascii="仿宋_GB2312" w:hAnsi="仿宋_GB2312" w:eastAsia="仿宋_GB2312" w:cs="仿宋_GB2312"/>
          <w:bCs/>
          <w:color w:val="auto"/>
          <w:highlight w:val="none"/>
        </w:rPr>
      </w:pPr>
      <w:r>
        <w:rPr>
          <w:rFonts w:hint="eastAsia" w:ascii="仿宋_GB2312" w:hAnsi="仿宋_GB2312" w:eastAsia="仿宋_GB2312" w:cs="仿宋_GB2312"/>
          <w:bCs/>
          <w:color w:val="auto"/>
          <w:highlight w:val="none"/>
        </w:rPr>
        <w:t>法定代表人或授权代表（签字或盖章）：XXX</w:t>
      </w:r>
    </w:p>
    <w:p>
      <w:pPr>
        <w:adjustRightInd w:val="0"/>
        <w:spacing w:line="578" w:lineRule="exact"/>
        <w:ind w:firstLine="720" w:firstLineChars="225"/>
        <w:jc w:val="left"/>
        <w:rPr>
          <w:rFonts w:ascii="仿宋_GB2312" w:hAnsi="仿宋_GB2312" w:eastAsia="仿宋_GB2312" w:cs="仿宋_GB2312"/>
          <w:bCs/>
          <w:color w:val="auto"/>
          <w:highlight w:val="none"/>
        </w:rPr>
      </w:pPr>
      <w:r>
        <w:rPr>
          <w:rFonts w:hint="eastAsia" w:ascii="仿宋_GB2312" w:hAnsi="仿宋_GB2312" w:eastAsia="仿宋_GB2312" w:cs="仿宋_GB2312"/>
          <w:bCs/>
          <w:color w:val="auto"/>
          <w:highlight w:val="none"/>
        </w:rPr>
        <w:t>日  期</w:t>
      </w:r>
      <w:r>
        <w:rPr>
          <w:rFonts w:hint="eastAsia" w:ascii="仿宋_GB2312" w:hAnsi="仿宋_GB2312" w:eastAsia="仿宋_GB2312" w:cs="仿宋_GB2312"/>
          <w:color w:val="auto"/>
          <w:highlight w:val="none"/>
        </w:rPr>
        <w:t>：</w:t>
      </w:r>
      <w:r>
        <w:rPr>
          <w:rFonts w:hint="eastAsia" w:ascii="仿宋_GB2312" w:hAnsi="仿宋_GB2312" w:eastAsia="仿宋_GB2312" w:cs="仿宋_GB2312"/>
          <w:bCs/>
          <w:color w:val="auto"/>
          <w:highlight w:val="none"/>
        </w:rPr>
        <w:t>XXX年XXX月XXX日</w:t>
      </w:r>
    </w:p>
    <w:p>
      <w:pPr>
        <w:spacing w:line="578" w:lineRule="exact"/>
        <w:jc w:val="left"/>
        <w:rPr>
          <w:rFonts w:ascii="仿宋_GB2312" w:hAnsi="仿宋_GB2312" w:eastAsia="仿宋_GB2312" w:cs="仿宋_GB2312"/>
          <w:b/>
          <w:color w:val="auto"/>
          <w:highlight w:val="none"/>
        </w:rPr>
        <w:sectPr>
          <w:pgSz w:w="11907" w:h="16839"/>
          <w:pgMar w:top="1440" w:right="1800" w:bottom="1440" w:left="1800" w:header="851" w:footer="992" w:gutter="0"/>
          <w:pgNumType w:fmt="decimal"/>
          <w:cols w:space="720" w:num="1"/>
          <w:docGrid w:type="linesAndChars" w:linePitch="312" w:charSpace="0"/>
        </w:sectPr>
      </w:pPr>
    </w:p>
    <w:p>
      <w:pPr>
        <w:spacing w:line="578" w:lineRule="exact"/>
        <w:jc w:val="left"/>
        <w:rPr>
          <w:rFonts w:ascii="仿宋_GB2312" w:hAnsi="仿宋_GB2312" w:eastAsia="仿宋_GB2312" w:cs="仿宋_GB2312"/>
          <w:color w:val="auto"/>
          <w:highlight w:val="none"/>
        </w:rPr>
      </w:pPr>
      <w:r>
        <w:rPr>
          <w:rFonts w:hint="eastAsia" w:ascii="仿宋_GB2312" w:hAnsi="仿宋_GB2312" w:eastAsia="仿宋_GB2312" w:cs="仿宋_GB2312"/>
          <w:b/>
          <w:color w:val="auto"/>
          <w:highlight w:val="none"/>
        </w:rPr>
        <w:t>格式2-6</w:t>
      </w:r>
    </w:p>
    <w:p>
      <w:pPr>
        <w:spacing w:line="578" w:lineRule="exact"/>
        <w:jc w:val="center"/>
        <w:rPr>
          <w:rFonts w:ascii="仿宋_GB2312" w:hAnsi="仿宋_GB2312" w:eastAsia="仿宋_GB2312" w:cs="仿宋_GB2312"/>
          <w:b/>
          <w:bCs/>
          <w:color w:val="auto"/>
          <w:highlight w:val="none"/>
        </w:rPr>
      </w:pPr>
      <w:r>
        <w:rPr>
          <w:rFonts w:hint="eastAsia" w:ascii="仿宋_GB2312" w:hAnsi="仿宋_GB2312" w:eastAsia="仿宋_GB2312" w:cs="仿宋_GB2312"/>
          <w:b/>
          <w:bCs/>
          <w:color w:val="auto"/>
          <w:highlight w:val="none"/>
        </w:rPr>
        <w:t>中小企业声明函</w:t>
      </w:r>
    </w:p>
    <w:p>
      <w:pPr>
        <w:spacing w:line="578" w:lineRule="exact"/>
        <w:jc w:val="center"/>
        <w:rPr>
          <w:rFonts w:ascii="仿宋_GB2312" w:hAnsi="仿宋_GB2312" w:eastAsia="仿宋_GB2312" w:cs="仿宋_GB2312"/>
          <w:b/>
          <w:bCs/>
          <w:color w:val="auto"/>
          <w:highlight w:val="none"/>
        </w:rPr>
      </w:pPr>
    </w:p>
    <w:p>
      <w:pPr>
        <w:spacing w:line="578" w:lineRule="exact"/>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本公司郑重声明，根据《政府采购促进中小企业发展管理办法》（财库﹝2020﹞46 号）的规定，本公司参加（单位名称）的（项目名称）采购活动。相关企业的具体情况如下：</w:t>
      </w:r>
    </w:p>
    <w:p>
      <w:pPr>
        <w:spacing w:line="578" w:lineRule="exact"/>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（标的名称），属于（采购文件中明确的所属行业）；承接企业为（企业名称） ，从业人员XX人，营业收入为XX万元，资产总额为XX万元，属于（中型企业、小型企业、微型企业）；</w:t>
      </w:r>
    </w:p>
    <w:p>
      <w:pPr>
        <w:spacing w:line="578" w:lineRule="exact"/>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以上企业，不属于大企业的分支机构，不存在控股股东为大企业的情形，也不存在与大企业的负责人为同一人的情形。</w:t>
      </w:r>
    </w:p>
    <w:p>
      <w:pPr>
        <w:spacing w:line="578" w:lineRule="exact"/>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本企业对上述声明内容的真实性负责。如有虚假，将依法承担相应责任。</w:t>
      </w:r>
    </w:p>
    <w:p>
      <w:pPr>
        <w:spacing w:line="578" w:lineRule="exact"/>
        <w:rPr>
          <w:rFonts w:ascii="仿宋_GB2312" w:hAnsi="仿宋_GB2312" w:eastAsia="仿宋_GB2312" w:cs="仿宋_GB2312"/>
          <w:color w:val="auto"/>
          <w:highlight w:val="none"/>
        </w:rPr>
      </w:pPr>
    </w:p>
    <w:p>
      <w:pPr>
        <w:spacing w:line="578" w:lineRule="exact"/>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企业名称（盖章）：</w:t>
      </w:r>
    </w:p>
    <w:p>
      <w:pPr>
        <w:spacing w:line="578" w:lineRule="exact"/>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日 期：</w:t>
      </w:r>
    </w:p>
    <w:p>
      <w:pPr>
        <w:spacing w:line="578" w:lineRule="exact"/>
        <w:rPr>
          <w:rFonts w:ascii="仿宋_GB2312" w:hAnsi="仿宋_GB2312" w:eastAsia="仿宋_GB2312" w:cs="仿宋_GB2312"/>
          <w:color w:val="auto"/>
          <w:highlight w:val="none"/>
        </w:rPr>
      </w:pPr>
    </w:p>
    <w:p>
      <w:pPr>
        <w:spacing w:line="578" w:lineRule="exact"/>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注：1.从业人员、营业收入、资产总额填报上一年度数据，无上一年度数据的新成立企业可不填报。</w:t>
      </w:r>
    </w:p>
    <w:p>
      <w:pPr>
        <w:spacing w:line="578" w:lineRule="exact"/>
        <w:rPr>
          <w:rFonts w:ascii="仿宋_GB2312" w:hAnsi="仿宋_GB2312" w:eastAsia="仿宋_GB2312" w:cs="仿宋_GB2312"/>
          <w:b/>
          <w:color w:val="auto"/>
          <w:highlight w:val="none"/>
        </w:rPr>
        <w:sectPr>
          <w:pgSz w:w="11906" w:h="16838"/>
          <w:pgMar w:top="1440" w:right="1800" w:bottom="1440" w:left="1800" w:header="851" w:footer="992" w:gutter="0"/>
          <w:pgNumType w:fmt="decimal"/>
          <w:cols w:space="720" w:num="1"/>
          <w:docGrid w:type="lines" w:linePitch="312" w:charSpace="0"/>
        </w:sectPr>
      </w:pPr>
    </w:p>
    <w:p>
      <w:pPr>
        <w:spacing w:line="578" w:lineRule="exact"/>
        <w:rPr>
          <w:rFonts w:ascii="仿宋_GB2312" w:hAnsi="仿宋_GB2312" w:eastAsia="仿宋_GB2312" w:cs="仿宋_GB2312"/>
          <w:b/>
          <w:color w:val="auto"/>
          <w:highlight w:val="none"/>
        </w:rPr>
      </w:pPr>
      <w:r>
        <w:rPr>
          <w:rFonts w:hint="eastAsia" w:ascii="仿宋_GB2312" w:hAnsi="仿宋_GB2312" w:eastAsia="仿宋_GB2312" w:cs="仿宋_GB2312"/>
          <w:b/>
          <w:color w:val="auto"/>
          <w:highlight w:val="none"/>
        </w:rPr>
        <w:t>格式2-7</w:t>
      </w:r>
    </w:p>
    <w:p>
      <w:pPr>
        <w:spacing w:line="578" w:lineRule="exact"/>
        <w:jc w:val="center"/>
        <w:rPr>
          <w:rFonts w:ascii="仿宋_GB2312" w:hAnsi="仿宋_GB2312" w:eastAsia="仿宋_GB2312" w:cs="仿宋_GB2312"/>
          <w:b/>
          <w:bCs/>
          <w:color w:val="auto"/>
          <w:highlight w:val="none"/>
        </w:rPr>
      </w:pPr>
      <w:r>
        <w:rPr>
          <w:rFonts w:hint="eastAsia" w:ascii="仿宋_GB2312" w:hAnsi="仿宋_GB2312" w:eastAsia="仿宋_GB2312" w:cs="仿宋_GB2312"/>
          <w:b/>
          <w:bCs/>
          <w:color w:val="auto"/>
          <w:highlight w:val="none"/>
        </w:rPr>
        <w:t>残疾人福利性单位声明函</w:t>
      </w:r>
    </w:p>
    <w:p>
      <w:pPr>
        <w:spacing w:line="578" w:lineRule="exact"/>
        <w:rPr>
          <w:rFonts w:ascii="仿宋_GB2312" w:hAnsi="仿宋_GB2312" w:eastAsia="仿宋_GB2312" w:cs="仿宋_GB2312"/>
          <w:b/>
          <w:color w:val="auto"/>
          <w:spacing w:val="6"/>
          <w:highlight w:val="none"/>
        </w:rPr>
      </w:pPr>
    </w:p>
    <w:p>
      <w:pPr>
        <w:spacing w:line="578" w:lineRule="exact"/>
        <w:ind w:firstLine="664" w:firstLineChars="200"/>
        <w:rPr>
          <w:rFonts w:ascii="仿宋_GB2312" w:hAnsi="仿宋_GB2312" w:eastAsia="仿宋_GB2312" w:cs="仿宋_GB2312"/>
          <w:color w:val="auto"/>
          <w:spacing w:val="6"/>
          <w:highlight w:val="none"/>
        </w:rPr>
      </w:pPr>
      <w:r>
        <w:rPr>
          <w:rFonts w:hint="eastAsia" w:ascii="仿宋_GB2312" w:hAnsi="仿宋_GB2312" w:eastAsia="仿宋_GB2312" w:cs="仿宋_GB2312"/>
          <w:color w:val="auto"/>
          <w:spacing w:val="6"/>
          <w:highlight w:val="none"/>
        </w:rPr>
        <w:t>本单位郑重声明，根据《财政部 民政部 中国残疾人联合会关于促进残疾人就业政府采购政策的通知》（财库</w:t>
      </w:r>
      <w:r>
        <w:rPr>
          <w:rFonts w:hint="eastAsia" w:ascii="仿宋_GB2312" w:hAnsi="仿宋_GB2312" w:eastAsia="仿宋_GB2312" w:cs="仿宋_GB2312"/>
          <w:color w:val="auto"/>
          <w:highlight w:val="none"/>
        </w:rPr>
        <w:t>〔2017〕 141</w:t>
      </w:r>
      <w:r>
        <w:rPr>
          <w:rFonts w:hint="eastAsia" w:ascii="仿宋_GB2312" w:hAnsi="仿宋_GB2312" w:eastAsia="仿宋_GB2312" w:cs="仿宋_GB2312"/>
          <w:color w:val="auto"/>
          <w:spacing w:val="6"/>
          <w:highlight w:val="none"/>
        </w:rPr>
        <w:t>号）的规定，本单位为符合条件的残疾人福利性单位，且本单位参加</w:t>
      </w:r>
      <w:r>
        <w:rPr>
          <w:rFonts w:hint="eastAsia" w:ascii="仿宋_GB2312" w:hAnsi="仿宋_GB2312" w:eastAsia="仿宋_GB2312" w:cs="仿宋_GB2312"/>
          <w:color w:val="auto"/>
          <w:highlight w:val="none"/>
          <w:u w:val="single"/>
        </w:rPr>
        <w:t>XXXX</w:t>
      </w:r>
      <w:r>
        <w:rPr>
          <w:rFonts w:hint="eastAsia" w:ascii="仿宋_GB2312" w:hAnsi="仿宋_GB2312" w:eastAsia="仿宋_GB2312" w:cs="仿宋_GB2312"/>
          <w:color w:val="auto"/>
          <w:spacing w:val="6"/>
          <w:highlight w:val="none"/>
        </w:rPr>
        <w:t>单位的</w:t>
      </w:r>
      <w:r>
        <w:rPr>
          <w:rFonts w:hint="eastAsia" w:ascii="仿宋_GB2312" w:hAnsi="仿宋_GB2312" w:eastAsia="仿宋_GB2312" w:cs="仿宋_GB2312"/>
          <w:color w:val="auto"/>
          <w:highlight w:val="none"/>
          <w:u w:val="single"/>
        </w:rPr>
        <w:t>XXXX</w:t>
      </w:r>
      <w:r>
        <w:rPr>
          <w:rFonts w:hint="eastAsia" w:ascii="仿宋_GB2312" w:hAnsi="仿宋_GB2312" w:eastAsia="仿宋_GB2312" w:cs="仿宋_GB2312"/>
          <w:color w:val="auto"/>
          <w:spacing w:val="6"/>
          <w:highlight w:val="none"/>
        </w:rPr>
        <w:t>项目采购活动提供本单位制造的货物（由本单位承担工程/提供服务），或者提供其他残疾人福利性单位制造的货物（不包括使用非残疾人福利性单位注册商标的货物）。</w:t>
      </w:r>
    </w:p>
    <w:p>
      <w:pPr>
        <w:spacing w:line="578" w:lineRule="exact"/>
        <w:ind w:firstLine="664" w:firstLineChars="200"/>
        <w:rPr>
          <w:rFonts w:ascii="仿宋_GB2312" w:hAnsi="仿宋_GB2312" w:eastAsia="仿宋_GB2312" w:cs="仿宋_GB2312"/>
          <w:color w:val="auto"/>
          <w:spacing w:val="6"/>
          <w:highlight w:val="none"/>
        </w:rPr>
      </w:pPr>
      <w:r>
        <w:rPr>
          <w:rFonts w:hint="eastAsia" w:ascii="仿宋_GB2312" w:hAnsi="仿宋_GB2312" w:eastAsia="仿宋_GB2312" w:cs="仿宋_GB2312"/>
          <w:color w:val="auto"/>
          <w:spacing w:val="6"/>
          <w:highlight w:val="none"/>
        </w:rPr>
        <w:t>本单位对上述声明的真实性负责。如有虚假，将依法承担相应责任。</w:t>
      </w:r>
    </w:p>
    <w:p>
      <w:pPr>
        <w:spacing w:line="578" w:lineRule="exact"/>
        <w:rPr>
          <w:rFonts w:ascii="仿宋_GB2312" w:hAnsi="仿宋_GB2312" w:eastAsia="仿宋_GB2312" w:cs="仿宋_GB2312"/>
          <w:color w:val="auto"/>
          <w:spacing w:val="6"/>
          <w:highlight w:val="none"/>
        </w:rPr>
      </w:pPr>
    </w:p>
    <w:p>
      <w:pPr>
        <w:spacing w:line="578" w:lineRule="exact"/>
        <w:rPr>
          <w:rFonts w:ascii="仿宋_GB2312" w:hAnsi="仿宋_GB2312" w:eastAsia="仿宋_GB2312" w:cs="仿宋_GB2312"/>
          <w:color w:val="auto"/>
          <w:spacing w:val="6"/>
          <w:highlight w:val="none"/>
        </w:rPr>
      </w:pPr>
    </w:p>
    <w:p>
      <w:pPr>
        <w:spacing w:line="578" w:lineRule="exact"/>
        <w:ind w:firstLine="640" w:firstLineChars="200"/>
        <w:jc w:val="left"/>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单位名称：XXXX（盖单位公章）</w:t>
      </w:r>
    </w:p>
    <w:p>
      <w:pPr>
        <w:spacing w:line="578" w:lineRule="exact"/>
        <w:ind w:firstLine="640" w:firstLineChars="200"/>
        <w:jc w:val="left"/>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法定代表人/单位负责人或授权代表（签字或加盖个人印章）：XXXX</w:t>
      </w:r>
    </w:p>
    <w:p>
      <w:pPr>
        <w:spacing w:line="578" w:lineRule="exact"/>
        <w:ind w:firstLine="640" w:firstLineChars="200"/>
        <w:jc w:val="left"/>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日期：XXXX</w:t>
      </w:r>
    </w:p>
    <w:p>
      <w:pPr>
        <w:spacing w:line="578" w:lineRule="exact"/>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注：</w:t>
      </w:r>
    </w:p>
    <w:p>
      <w:pPr>
        <w:numPr>
          <w:ilvl w:val="0"/>
          <w:numId w:val="3"/>
        </w:numPr>
        <w:spacing w:after="160" w:line="578" w:lineRule="exact"/>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残疾人福利性单位视同小型、微型企业，享受预留份额、评审中价格扣除等促进中小企业发展的政府采购政策。残疾人福利性单位属于小型、微型企业的，不重复享受政策。</w:t>
      </w:r>
    </w:p>
    <w:p>
      <w:pPr>
        <w:spacing w:line="578" w:lineRule="exact"/>
        <w:jc w:val="left"/>
        <w:rPr>
          <w:rFonts w:ascii="仿宋_GB2312" w:hAnsi="仿宋_GB2312" w:eastAsia="仿宋_GB2312" w:cs="仿宋_GB2312"/>
          <w:b/>
          <w:color w:val="auto"/>
          <w:highlight w:val="none"/>
        </w:rPr>
      </w:pPr>
      <w:r>
        <w:rPr>
          <w:rFonts w:hint="eastAsia" w:ascii="仿宋_GB2312" w:hAnsi="仿宋_GB2312" w:eastAsia="仿宋_GB2312" w:cs="仿宋_GB2312"/>
          <w:color w:val="auto"/>
          <w:highlight w:val="none"/>
        </w:rPr>
        <w:t>供应商为非残疾人福利性单位的，可不提供此声明。</w:t>
      </w:r>
    </w:p>
    <w:p>
      <w:pPr>
        <w:spacing w:line="578" w:lineRule="exact"/>
        <w:jc w:val="left"/>
        <w:rPr>
          <w:rFonts w:ascii="仿宋_GB2312" w:hAnsi="仿宋_GB2312" w:eastAsia="仿宋_GB2312" w:cs="仿宋_GB2312"/>
          <w:b/>
          <w:color w:val="auto"/>
          <w:highlight w:val="none"/>
        </w:rPr>
      </w:pPr>
      <w:r>
        <w:rPr>
          <w:rFonts w:hint="eastAsia" w:ascii="仿宋_GB2312" w:hAnsi="仿宋_GB2312" w:eastAsia="仿宋_GB2312" w:cs="仿宋_GB2312"/>
          <w:b/>
          <w:color w:val="auto"/>
          <w:highlight w:val="none"/>
        </w:rPr>
        <w:t>格式2-8</w:t>
      </w:r>
    </w:p>
    <w:p>
      <w:pPr>
        <w:spacing w:line="578" w:lineRule="exact"/>
        <w:ind w:firstLine="480"/>
        <w:jc w:val="center"/>
        <w:rPr>
          <w:rFonts w:ascii="仿宋_GB2312" w:hAnsi="仿宋_GB2312" w:eastAsia="仿宋_GB2312" w:cs="仿宋_GB2312"/>
          <w:b/>
          <w:color w:val="auto"/>
          <w:highlight w:val="none"/>
        </w:rPr>
      </w:pPr>
      <w:r>
        <w:rPr>
          <w:rFonts w:hint="eastAsia" w:ascii="仿宋_GB2312" w:hAnsi="仿宋_GB2312" w:eastAsia="仿宋_GB2312" w:cs="仿宋_GB2312"/>
          <w:b/>
          <w:color w:val="auto"/>
          <w:highlight w:val="none"/>
        </w:rPr>
        <w:t>最终报价表</w:t>
      </w:r>
    </w:p>
    <w:tbl>
      <w:tblPr>
        <w:tblStyle w:val="11"/>
        <w:tblpPr w:leftFromText="180" w:rightFromText="180" w:vertAnchor="text" w:horzAnchor="page" w:tblpX="1640" w:tblpY="377"/>
        <w:tblOverlap w:val="never"/>
        <w:tblW w:w="911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816"/>
        <w:gridCol w:w="629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8" w:hRule="atLeast"/>
        </w:trPr>
        <w:tc>
          <w:tcPr>
            <w:tcW w:w="2816" w:type="dxa"/>
            <w:noWrap w:val="0"/>
            <w:vAlign w:val="center"/>
          </w:tcPr>
          <w:p>
            <w:pPr>
              <w:widowControl/>
              <w:spacing w:line="360" w:lineRule="auto"/>
              <w:jc w:val="center"/>
              <w:rPr>
                <w:rFonts w:hint="eastAsia" w:ascii="宋体" w:hAnsi="宋体" w:eastAsia="宋体" w:cs="宋体"/>
                <w:color w:val="auto"/>
                <w:kern w:val="0"/>
                <w:sz w:val="22"/>
                <w:szCs w:val="28"/>
                <w:highlight w:val="none"/>
                <w:lang w:val="en-US" w:eastAsia="zh-CN"/>
              </w:rPr>
            </w:pPr>
            <w:r>
              <w:rPr>
                <w:rFonts w:hint="eastAsia" w:ascii="仿宋_GB2312" w:hAnsi="仿宋_GB2312" w:eastAsia="仿宋_GB2312" w:cs="仿宋_GB2312"/>
                <w:color w:val="auto"/>
                <w:sz w:val="28"/>
                <w:szCs w:val="28"/>
                <w:highlight w:val="none"/>
                <w:lang w:eastAsia="zh-CN"/>
              </w:rPr>
              <w:t>采购项目编号</w:t>
            </w:r>
          </w:p>
        </w:tc>
        <w:tc>
          <w:tcPr>
            <w:tcW w:w="6299" w:type="dxa"/>
            <w:noWrap w:val="0"/>
            <w:vAlign w:val="center"/>
          </w:tcPr>
          <w:p>
            <w:pPr>
              <w:widowControl/>
              <w:spacing w:line="360" w:lineRule="auto"/>
              <w:jc w:val="center"/>
              <w:rPr>
                <w:rFonts w:hint="eastAsia" w:ascii="宋体" w:hAnsi="宋体" w:eastAsia="宋体" w:cs="宋体"/>
                <w:bCs/>
                <w:color w:val="auto"/>
                <w:kern w:val="0"/>
                <w:sz w:val="24"/>
                <w:highlight w:val="none"/>
                <w:lang w:val="en-US" w:eastAsia="zh-CN"/>
              </w:rPr>
            </w:pPr>
            <w:r>
              <w:rPr>
                <w:rFonts w:hint="eastAsia" w:ascii="仿宋_GB2312" w:hAnsi="仿宋_GB2312" w:eastAsia="仿宋_GB2312" w:cs="仿宋_GB2312"/>
                <w:color w:val="auto"/>
                <w:sz w:val="32"/>
                <w:szCs w:val="32"/>
                <w:highlight w:val="none"/>
                <w:lang w:val="en-US" w:eastAsia="zh-CN"/>
              </w:rPr>
              <w:t>DTCGJT-20240911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2" w:hRule="atLeast"/>
        </w:trPr>
        <w:tc>
          <w:tcPr>
            <w:tcW w:w="2816" w:type="dxa"/>
            <w:noWrap w:val="0"/>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kern w:val="0"/>
                <w:sz w:val="22"/>
                <w:szCs w:val="28"/>
                <w:highlight w:val="none"/>
              </w:rPr>
            </w:pPr>
            <w:r>
              <w:rPr>
                <w:rFonts w:hint="eastAsia" w:ascii="仿宋_GB2312" w:hAnsi="仿宋_GB2312" w:eastAsia="仿宋_GB2312" w:cs="仿宋_GB2312"/>
                <w:color w:val="auto"/>
                <w:sz w:val="28"/>
                <w:szCs w:val="28"/>
                <w:highlight w:val="none"/>
                <w:lang w:val="en-US" w:eastAsia="zh-CN"/>
              </w:rPr>
              <w:t>采购项目名称</w:t>
            </w:r>
          </w:p>
        </w:tc>
        <w:tc>
          <w:tcPr>
            <w:tcW w:w="6299" w:type="dxa"/>
            <w:noWrap w:val="0"/>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宋体" w:hAnsi="宋体" w:eastAsia="宋体" w:cs="宋体"/>
                <w:bCs/>
                <w:color w:val="auto"/>
                <w:kern w:val="0"/>
                <w:sz w:val="24"/>
                <w:highlight w:val="none"/>
              </w:rPr>
            </w:pPr>
            <w:r>
              <w:rPr>
                <w:rFonts w:hint="eastAsia" w:ascii="仿宋_GB2312" w:hAnsi="仿宋_GB2312" w:eastAsia="仿宋_GB2312" w:cs="仿宋_GB2312"/>
                <w:color w:val="auto"/>
                <w:sz w:val="28"/>
                <w:szCs w:val="28"/>
                <w:highlight w:val="none"/>
                <w:lang w:val="en-US" w:eastAsia="zh-CN"/>
              </w:rPr>
              <w:t>达州东部经开区生态智慧城综合开发建设项目（供水工程-任家咀取水泵房）航道通航条件影响评价报告编制服务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2" w:hRule="atLeast"/>
        </w:trPr>
        <w:tc>
          <w:tcPr>
            <w:tcW w:w="2816" w:type="dxa"/>
            <w:noWrap w:val="0"/>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kern w:val="0"/>
                <w:sz w:val="28"/>
                <w:szCs w:val="28"/>
                <w:highlight w:val="none"/>
                <w:lang w:val="en-US" w:eastAsia="zh-CN"/>
              </w:rPr>
              <w:t>1.</w:t>
            </w:r>
            <w:r>
              <w:rPr>
                <w:rFonts w:hint="eastAsia" w:ascii="仿宋_GB2312" w:hAnsi="仿宋_GB2312" w:eastAsia="仿宋_GB2312" w:cs="仿宋_GB2312"/>
                <w:color w:val="auto"/>
                <w:sz w:val="28"/>
                <w:szCs w:val="28"/>
                <w:highlight w:val="none"/>
                <w:lang w:val="en-US" w:eastAsia="zh-CN"/>
              </w:rPr>
              <w:t>任家咀取水泵房</w:t>
            </w:r>
            <w:r>
              <w:rPr>
                <w:rFonts w:hint="eastAsia" w:ascii="仿宋_GB2312" w:hAnsi="仿宋_GB2312" w:eastAsia="仿宋_GB2312" w:cs="仿宋_GB2312"/>
                <w:color w:val="auto"/>
                <w:kern w:val="0"/>
                <w:sz w:val="28"/>
                <w:szCs w:val="28"/>
                <w:highlight w:val="none"/>
                <w:lang w:val="en-US" w:eastAsia="zh-CN"/>
              </w:rPr>
              <w:t>航道通航条件影响评价报告编制</w:t>
            </w:r>
          </w:p>
        </w:tc>
        <w:tc>
          <w:tcPr>
            <w:tcW w:w="6299" w:type="dxa"/>
            <w:noWrap w:val="0"/>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宋体" w:hAnsi="宋体" w:eastAsia="宋体" w:cs="宋体"/>
                <w:bCs/>
                <w:color w:val="auto"/>
                <w:kern w:val="0"/>
                <w:sz w:val="24"/>
                <w:highlight w:val="none"/>
              </w:rPr>
            </w:pPr>
            <w:r>
              <w:rPr>
                <w:rFonts w:hint="eastAsia" w:ascii="仿宋_GB2312" w:hAnsi="仿宋_GB2312" w:eastAsia="仿宋_GB2312" w:cs="仿宋_GB2312"/>
                <w:color w:val="auto"/>
                <w:sz w:val="28"/>
                <w:szCs w:val="28"/>
                <w:highlight w:val="none"/>
              </w:rPr>
              <w:t>人民币大写：        （人民币小写：      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2" w:hRule="atLeast"/>
        </w:trPr>
        <w:tc>
          <w:tcPr>
            <w:tcW w:w="2816" w:type="dxa"/>
            <w:noWrap w:val="0"/>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kern w:val="0"/>
                <w:sz w:val="28"/>
                <w:szCs w:val="28"/>
                <w:highlight w:val="none"/>
                <w:lang w:val="en-US" w:eastAsia="zh-CN"/>
              </w:rPr>
              <w:t>2.</w:t>
            </w:r>
            <w:r>
              <w:rPr>
                <w:rFonts w:hint="eastAsia" w:ascii="仿宋_GB2312" w:hAnsi="仿宋_GB2312" w:eastAsia="仿宋_GB2312" w:cs="仿宋_GB2312"/>
                <w:color w:val="auto"/>
                <w:sz w:val="28"/>
                <w:szCs w:val="28"/>
                <w:highlight w:val="none"/>
                <w:lang w:val="en-US" w:eastAsia="zh-CN"/>
              </w:rPr>
              <w:t>任家咀取水泵房</w:t>
            </w:r>
            <w:r>
              <w:rPr>
                <w:rFonts w:hint="eastAsia" w:ascii="仿宋_GB2312" w:hAnsi="仿宋_GB2312" w:eastAsia="仿宋_GB2312" w:cs="仿宋_GB2312"/>
                <w:color w:val="auto"/>
                <w:kern w:val="0"/>
                <w:sz w:val="28"/>
                <w:szCs w:val="28"/>
                <w:highlight w:val="none"/>
                <w:lang w:val="en-US" w:eastAsia="zh-CN"/>
              </w:rPr>
              <w:t>航道通航条件影响评价报告评估</w:t>
            </w:r>
          </w:p>
        </w:tc>
        <w:tc>
          <w:tcPr>
            <w:tcW w:w="6299" w:type="dxa"/>
            <w:noWrap w:val="0"/>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宋体" w:hAnsi="宋体" w:eastAsia="宋体" w:cs="宋体"/>
                <w:bCs/>
                <w:color w:val="auto"/>
                <w:kern w:val="0"/>
                <w:sz w:val="24"/>
                <w:highlight w:val="none"/>
              </w:rPr>
            </w:pPr>
            <w:r>
              <w:rPr>
                <w:rFonts w:hint="eastAsia" w:ascii="仿宋_GB2312" w:hAnsi="仿宋_GB2312" w:eastAsia="仿宋_GB2312" w:cs="仿宋_GB2312"/>
                <w:color w:val="auto"/>
                <w:sz w:val="28"/>
                <w:szCs w:val="28"/>
                <w:highlight w:val="none"/>
              </w:rPr>
              <w:t>人民币大写：        （人民币小写：      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3" w:hRule="atLeast"/>
        </w:trPr>
        <w:tc>
          <w:tcPr>
            <w:tcW w:w="2816" w:type="dxa"/>
            <w:noWrap w:val="0"/>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kern w:val="0"/>
                <w:sz w:val="22"/>
                <w:szCs w:val="28"/>
                <w:highlight w:val="none"/>
              </w:rPr>
            </w:pPr>
            <w:r>
              <w:rPr>
                <w:rFonts w:hint="eastAsia" w:ascii="仿宋_GB2312" w:hAnsi="仿宋_GB2312" w:eastAsia="仿宋_GB2312" w:cs="仿宋_GB2312"/>
                <w:color w:val="auto"/>
                <w:sz w:val="28"/>
                <w:szCs w:val="28"/>
                <w:highlight w:val="none"/>
                <w:lang w:eastAsia="zh-CN"/>
              </w:rPr>
              <w:t>合计</w:t>
            </w:r>
            <w:bookmarkStart w:id="79" w:name="_GoBack"/>
            <w:bookmarkEnd w:id="79"/>
            <w:r>
              <w:rPr>
                <w:rFonts w:hint="eastAsia" w:ascii="仿宋_GB2312" w:hAnsi="仿宋_GB2312" w:eastAsia="仿宋_GB2312" w:cs="仿宋_GB2312"/>
                <w:color w:val="auto"/>
                <w:sz w:val="28"/>
                <w:szCs w:val="28"/>
                <w:highlight w:val="none"/>
              </w:rPr>
              <w:t>报价</w:t>
            </w:r>
          </w:p>
        </w:tc>
        <w:tc>
          <w:tcPr>
            <w:tcW w:w="6299" w:type="dxa"/>
            <w:noWrap w:val="0"/>
            <w:vAlign w:val="center"/>
          </w:tcPr>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4"/>
                <w:highlight w:val="none"/>
                <w:lang w:eastAsia="zh-CN"/>
              </w:rPr>
            </w:pPr>
            <w:r>
              <w:rPr>
                <w:rFonts w:hint="eastAsia" w:ascii="仿宋_GB2312" w:hAnsi="仿宋_GB2312" w:eastAsia="仿宋_GB2312" w:cs="仿宋_GB2312"/>
                <w:color w:val="auto"/>
                <w:sz w:val="28"/>
                <w:szCs w:val="28"/>
                <w:highlight w:val="none"/>
              </w:rPr>
              <w:t>人民币大写：        （人民币小写：      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9" w:hRule="atLeast"/>
        </w:trPr>
        <w:tc>
          <w:tcPr>
            <w:tcW w:w="2816" w:type="dxa"/>
            <w:noWrap w:val="0"/>
            <w:vAlign w:val="center"/>
          </w:tcPr>
          <w:p>
            <w:pPr>
              <w:widowControl/>
              <w:spacing w:line="360" w:lineRule="auto"/>
              <w:jc w:val="center"/>
              <w:rPr>
                <w:rFonts w:hint="default" w:ascii="宋体" w:hAnsi="宋体" w:eastAsia="宋体" w:cs="宋体"/>
                <w:color w:val="auto"/>
                <w:kern w:val="0"/>
                <w:sz w:val="22"/>
                <w:szCs w:val="28"/>
                <w:highlight w:val="none"/>
                <w:lang w:val="en-US" w:eastAsia="zh-CN"/>
              </w:rPr>
            </w:pPr>
            <w:r>
              <w:rPr>
                <w:rFonts w:hint="eastAsia" w:ascii="仿宋_GB2312" w:hAnsi="仿宋_GB2312" w:eastAsia="仿宋_GB2312" w:cs="仿宋_GB2312"/>
                <w:color w:val="auto"/>
                <w:sz w:val="28"/>
                <w:szCs w:val="28"/>
                <w:highlight w:val="none"/>
                <w:lang w:val="en-US" w:eastAsia="zh-CN"/>
              </w:rPr>
              <w:t>备注</w:t>
            </w:r>
          </w:p>
        </w:tc>
        <w:tc>
          <w:tcPr>
            <w:tcW w:w="6299" w:type="dxa"/>
            <w:noWrap w:val="0"/>
            <w:vAlign w:val="center"/>
          </w:tcPr>
          <w:p>
            <w:pPr>
              <w:widowControl/>
              <w:spacing w:line="360" w:lineRule="auto"/>
              <w:rPr>
                <w:rFonts w:hint="eastAsia" w:ascii="宋体" w:hAnsi="宋体" w:eastAsia="宋体" w:cs="宋体"/>
                <w:b/>
                <w:color w:val="auto"/>
                <w:sz w:val="24"/>
                <w:highlight w:val="none"/>
              </w:rPr>
            </w:pPr>
          </w:p>
        </w:tc>
      </w:tr>
    </w:tbl>
    <w:p>
      <w:pPr>
        <w:spacing w:line="578" w:lineRule="exact"/>
        <w:jc w:val="left"/>
        <w:rPr>
          <w:rFonts w:ascii="仿宋_GB2312" w:hAnsi="仿宋_GB2312" w:eastAsia="仿宋_GB2312" w:cs="仿宋_GB2312"/>
          <w:color w:val="auto"/>
          <w:highlight w:val="none"/>
        </w:rPr>
      </w:pPr>
    </w:p>
    <w:p>
      <w:pPr>
        <w:spacing w:line="578" w:lineRule="exact"/>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注: 报价应是包括</w:t>
      </w:r>
      <w:r>
        <w:rPr>
          <w:rFonts w:hint="eastAsia" w:ascii="仿宋_GB2312" w:hAnsi="仿宋_GB2312" w:eastAsia="仿宋_GB2312" w:cs="仿宋_GB2312"/>
          <w:color w:val="auto"/>
          <w:highlight w:val="none"/>
          <w:lang w:val="en-US" w:eastAsia="zh-CN"/>
        </w:rPr>
        <w:t>谈判</w:t>
      </w:r>
      <w:r>
        <w:rPr>
          <w:rFonts w:hint="eastAsia" w:ascii="仿宋_GB2312" w:hAnsi="仿宋_GB2312" w:eastAsia="仿宋_GB2312" w:cs="仿宋_GB2312"/>
          <w:color w:val="auto"/>
          <w:highlight w:val="none"/>
        </w:rPr>
        <w:t>文件规定的全部相应内容的报价，因成交供应商报价中遗漏的各种费用均包含在此报价中，成交供应商不得要求另行增加费用。</w:t>
      </w:r>
    </w:p>
    <w:p>
      <w:pPr>
        <w:adjustRightInd w:val="0"/>
        <w:spacing w:line="578" w:lineRule="exact"/>
        <w:ind w:firstLine="800" w:firstLineChars="250"/>
        <w:jc w:val="left"/>
        <w:rPr>
          <w:rFonts w:ascii="仿宋_GB2312" w:hAnsi="仿宋_GB2312" w:eastAsia="仿宋_GB2312" w:cs="仿宋_GB2312"/>
          <w:color w:val="auto"/>
          <w:highlight w:val="none"/>
        </w:rPr>
      </w:pPr>
    </w:p>
    <w:p>
      <w:pPr>
        <w:adjustRightInd w:val="0"/>
        <w:spacing w:line="578" w:lineRule="exact"/>
        <w:ind w:firstLine="800" w:firstLineChars="250"/>
        <w:jc w:val="left"/>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供应商名称：XXX（盖单位公章）</w:t>
      </w:r>
    </w:p>
    <w:p>
      <w:pPr>
        <w:spacing w:line="578" w:lineRule="exact"/>
        <w:ind w:firstLine="822" w:firstLineChars="257"/>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法定代表人或授权代表（签字或盖章）：XXX</w:t>
      </w:r>
    </w:p>
    <w:p>
      <w:pPr>
        <w:spacing w:line="578" w:lineRule="exact"/>
        <w:ind w:firstLine="640" w:firstLineChars="200"/>
        <w:rPr>
          <w:rFonts w:ascii="仿宋_GB2312" w:hAnsi="仿宋_GB2312" w:eastAsia="仿宋_GB2312" w:cs="仿宋_GB2312"/>
          <w:color w:val="auto"/>
          <w:spacing w:val="6"/>
          <w:highlight w:val="none"/>
        </w:rPr>
      </w:pPr>
      <w:r>
        <w:rPr>
          <w:rFonts w:hint="eastAsia" w:ascii="仿宋_GB2312" w:hAnsi="仿宋_GB2312" w:eastAsia="仿宋_GB2312" w:cs="仿宋_GB2312"/>
          <w:color w:val="auto"/>
          <w:highlight w:val="none"/>
        </w:rPr>
        <w:t>日      期：XXX年XXX月XXX日</w:t>
      </w:r>
    </w:p>
    <w:p>
      <w:pPr>
        <w:pStyle w:val="2"/>
        <w:keepNext w:val="0"/>
        <w:keepLines w:val="0"/>
        <w:spacing w:before="0" w:after="0" w:line="578" w:lineRule="exact"/>
        <w:jc w:val="center"/>
        <w:rPr>
          <w:rFonts w:ascii="仿宋_GB2312" w:hAnsi="仿宋_GB2312" w:eastAsia="仿宋_GB2312" w:cs="仿宋_GB2312"/>
          <w:bCs w:val="0"/>
          <w:color w:val="auto"/>
          <w:highlight w:val="none"/>
        </w:rPr>
        <w:sectPr>
          <w:pgSz w:w="11906" w:h="16838"/>
          <w:pgMar w:top="1440" w:right="1800" w:bottom="1440" w:left="1800" w:header="851" w:footer="992" w:gutter="0"/>
          <w:pgNumType w:fmt="decimal"/>
          <w:cols w:space="720" w:num="1"/>
          <w:docGrid w:type="lines" w:linePitch="312" w:charSpace="0"/>
        </w:sectPr>
      </w:pPr>
    </w:p>
    <w:p>
      <w:pPr>
        <w:pStyle w:val="2"/>
        <w:keepNext w:val="0"/>
        <w:keepLines w:val="0"/>
        <w:spacing w:before="0" w:after="0" w:line="578" w:lineRule="exact"/>
        <w:jc w:val="center"/>
        <w:rPr>
          <w:rFonts w:ascii="黑体" w:hAnsi="黑体" w:cs="黑体"/>
          <w:b w:val="0"/>
          <w:color w:val="auto"/>
          <w:highlight w:val="none"/>
        </w:rPr>
      </w:pPr>
      <w:bookmarkStart w:id="71" w:name="_Toc17337"/>
      <w:r>
        <w:rPr>
          <w:rFonts w:hint="eastAsia" w:ascii="黑体" w:hAnsi="黑体" w:cs="黑体"/>
          <w:b w:val="0"/>
          <w:color w:val="auto"/>
          <w:highlight w:val="none"/>
        </w:rPr>
        <w:t>第六章  评审方法</w:t>
      </w:r>
      <w:bookmarkEnd w:id="71"/>
    </w:p>
    <w:p>
      <w:pPr>
        <w:spacing w:line="578" w:lineRule="exact"/>
        <w:rPr>
          <w:rFonts w:ascii="仿宋_GB2312" w:hAnsi="仿宋_GB2312" w:eastAsia="仿宋_GB2312" w:cs="仿宋_GB2312"/>
          <w:color w:val="auto"/>
          <w:highlight w:val="none"/>
        </w:rPr>
      </w:pPr>
    </w:p>
    <w:p>
      <w:pPr>
        <w:spacing w:line="578" w:lineRule="exact"/>
        <w:ind w:firstLine="629" w:firstLineChars="196"/>
        <w:rPr>
          <w:rFonts w:ascii="仿宋_GB2312" w:hAnsi="仿宋_GB2312" w:eastAsia="仿宋_GB2312" w:cs="仿宋_GB2312"/>
          <w:b/>
          <w:bCs/>
          <w:color w:val="auto"/>
          <w:highlight w:val="none"/>
        </w:rPr>
      </w:pPr>
      <w:r>
        <w:rPr>
          <w:rFonts w:hint="eastAsia" w:ascii="仿宋_GB2312" w:hAnsi="仿宋_GB2312" w:eastAsia="仿宋_GB2312" w:cs="仿宋_GB2312"/>
          <w:b/>
          <w:bCs/>
          <w:color w:val="auto"/>
          <w:highlight w:val="none"/>
        </w:rPr>
        <w:t>1.总则</w:t>
      </w:r>
    </w:p>
    <w:p>
      <w:pPr>
        <w:spacing w:line="578" w:lineRule="exact"/>
        <w:ind w:firstLine="627" w:firstLineChars="196"/>
        <w:rPr>
          <w:rFonts w:ascii="仿宋_GB2312" w:hAnsi="仿宋_GB2312" w:eastAsia="仿宋_GB2312" w:cs="仿宋_GB2312"/>
          <w:bCs/>
          <w:color w:val="auto"/>
          <w:highlight w:val="none"/>
        </w:rPr>
      </w:pPr>
      <w:r>
        <w:rPr>
          <w:rFonts w:hint="eastAsia" w:ascii="仿宋_GB2312" w:hAnsi="仿宋_GB2312" w:eastAsia="仿宋_GB2312" w:cs="仿宋_GB2312"/>
          <w:bCs/>
          <w:color w:val="auto"/>
          <w:highlight w:val="none"/>
        </w:rPr>
        <w:t>1.1 参照《中华人民共和国政府采购法》、《中华人民共和国政府采购法实施条例》、《政府采购非招标采购方式管理办法》等法律制度，结合本采购项目特点制定本谈判方法。</w:t>
      </w:r>
    </w:p>
    <w:p>
      <w:pPr>
        <w:spacing w:line="578" w:lineRule="exact"/>
        <w:ind w:firstLine="627" w:firstLineChars="196"/>
        <w:rPr>
          <w:rFonts w:ascii="仿宋_GB2312" w:hAnsi="仿宋_GB2312" w:eastAsia="仿宋_GB2312" w:cs="仿宋_GB2312"/>
          <w:bCs/>
          <w:color w:val="auto"/>
          <w:highlight w:val="none"/>
        </w:rPr>
      </w:pPr>
      <w:r>
        <w:rPr>
          <w:rFonts w:hint="eastAsia" w:ascii="仿宋_GB2312" w:hAnsi="仿宋_GB2312" w:eastAsia="仿宋_GB2312" w:cs="仿宋_GB2312"/>
          <w:bCs/>
          <w:color w:val="auto"/>
          <w:highlight w:val="none"/>
        </w:rPr>
        <w:t>1.2 谈判工作由采购</w:t>
      </w:r>
      <w:r>
        <w:rPr>
          <w:rFonts w:hint="eastAsia" w:ascii="仿宋_GB2312" w:hAnsi="仿宋_GB2312" w:eastAsia="仿宋_GB2312" w:cs="仿宋_GB2312"/>
          <w:bCs/>
          <w:color w:val="auto"/>
          <w:highlight w:val="none"/>
          <w:lang w:val="en-US" w:eastAsia="zh-CN"/>
        </w:rPr>
        <w:t>人</w:t>
      </w:r>
      <w:r>
        <w:rPr>
          <w:rFonts w:hint="eastAsia" w:ascii="仿宋_GB2312" w:hAnsi="仿宋_GB2312" w:eastAsia="仿宋_GB2312" w:cs="仿宋_GB2312"/>
          <w:bCs/>
          <w:color w:val="auto"/>
          <w:highlight w:val="none"/>
        </w:rPr>
        <w:t>负责组织，具体谈判由采购</w:t>
      </w:r>
      <w:r>
        <w:rPr>
          <w:rFonts w:hint="eastAsia" w:ascii="仿宋_GB2312" w:hAnsi="仿宋_GB2312" w:eastAsia="仿宋_GB2312" w:cs="仿宋_GB2312"/>
          <w:bCs/>
          <w:color w:val="auto"/>
          <w:highlight w:val="none"/>
          <w:lang w:val="en-US" w:eastAsia="zh-CN"/>
        </w:rPr>
        <w:t>人</w:t>
      </w:r>
      <w:r>
        <w:rPr>
          <w:rFonts w:hint="eastAsia" w:ascii="仿宋_GB2312" w:hAnsi="仿宋_GB2312" w:eastAsia="仿宋_GB2312" w:cs="仿宋_GB2312"/>
          <w:bCs/>
          <w:color w:val="auto"/>
          <w:highlight w:val="none"/>
        </w:rPr>
        <w:t>依法组建的谈判小组负责。谈判小组由采购人代表和有关技术、经济、法律等方面的专家组成。</w:t>
      </w:r>
    </w:p>
    <w:p>
      <w:pPr>
        <w:spacing w:line="578" w:lineRule="exact"/>
        <w:ind w:firstLine="627" w:firstLineChars="196"/>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1.3 谈判工作应遵循公平、公正、科学及择优的原则，并以相同的谈判程序和标准对待所有的供应商。</w:t>
      </w:r>
    </w:p>
    <w:p>
      <w:pPr>
        <w:spacing w:line="578" w:lineRule="exact"/>
        <w:ind w:firstLine="627" w:firstLineChars="196"/>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1.4 谈判小组按照谈判文件规定的谈判方法和标准进行谈判，并独立履行下列职责：</w:t>
      </w:r>
    </w:p>
    <w:p>
      <w:pPr>
        <w:spacing w:line="578" w:lineRule="exact"/>
        <w:ind w:firstLine="627" w:firstLineChars="196"/>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（一）熟悉和理解谈判文件，确定谈判文件内容是否违反国家有关强制性规定或者谈判文件存在歧义、重大缺陷；</w:t>
      </w:r>
    </w:p>
    <w:p>
      <w:pPr>
        <w:spacing w:line="578" w:lineRule="exact"/>
        <w:ind w:firstLine="627" w:firstLineChars="196"/>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（二）审查供应商响应文件是否满足谈判文件要求，并作出公正评价；</w:t>
      </w:r>
    </w:p>
    <w:p>
      <w:pPr>
        <w:spacing w:line="578" w:lineRule="exact"/>
        <w:ind w:firstLine="627" w:firstLineChars="196"/>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（三）根据需要要求供应商对谈判文件有关事项作出澄清、说明或者纠正；</w:t>
      </w:r>
    </w:p>
    <w:p>
      <w:pPr>
        <w:spacing w:line="578" w:lineRule="exact"/>
        <w:ind w:firstLine="627" w:firstLineChars="196"/>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（四）推荐成交供应商，或者受采购人委托确定成交供应商；</w:t>
      </w:r>
    </w:p>
    <w:p>
      <w:pPr>
        <w:spacing w:line="578" w:lineRule="exact"/>
        <w:ind w:firstLine="627" w:firstLineChars="196"/>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（五）起草评审报告并进行签署；</w:t>
      </w:r>
    </w:p>
    <w:p>
      <w:pPr>
        <w:spacing w:line="578" w:lineRule="exact"/>
        <w:ind w:firstLine="627" w:firstLineChars="196"/>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（六）向采购人报告非法干预评审工作的行为；</w:t>
      </w:r>
    </w:p>
    <w:p>
      <w:pPr>
        <w:spacing w:line="578" w:lineRule="exact"/>
        <w:ind w:firstLine="627" w:firstLineChars="196"/>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（七）法律、法规和规章规定的其他职责。</w:t>
      </w:r>
    </w:p>
    <w:p>
      <w:pPr>
        <w:spacing w:line="578" w:lineRule="exact"/>
        <w:ind w:firstLine="627" w:firstLineChars="196"/>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1.5 （实质性要求）谈判过程独立、保密。供应商非法干预谈判过程的，其响应文件作为无效处理。</w:t>
      </w:r>
    </w:p>
    <w:p>
      <w:pPr>
        <w:spacing w:line="578" w:lineRule="exact"/>
        <w:ind w:firstLine="627" w:firstLineChars="196"/>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1.6 谈判小组评价响应文件，除谈判小组要求其澄清、说明或者纠正而提供的资料外，仅依据响应文件本身的内容，不寻求供应商提供其他外部证据。</w:t>
      </w:r>
    </w:p>
    <w:p>
      <w:pPr>
        <w:spacing w:line="578" w:lineRule="exact"/>
        <w:ind w:firstLine="629" w:firstLineChars="196"/>
        <w:rPr>
          <w:rFonts w:ascii="仿宋_GB2312" w:hAnsi="仿宋_GB2312" w:eastAsia="仿宋_GB2312" w:cs="仿宋_GB2312"/>
          <w:b/>
          <w:bCs/>
          <w:color w:val="auto"/>
          <w:highlight w:val="none"/>
        </w:rPr>
      </w:pPr>
      <w:r>
        <w:rPr>
          <w:rFonts w:hint="eastAsia" w:ascii="仿宋_GB2312" w:hAnsi="仿宋_GB2312" w:eastAsia="仿宋_GB2312" w:cs="仿宋_GB2312"/>
          <w:b/>
          <w:bCs/>
          <w:color w:val="auto"/>
          <w:highlight w:val="none"/>
        </w:rPr>
        <w:t>2.评审程序</w:t>
      </w:r>
    </w:p>
    <w:p>
      <w:pPr>
        <w:spacing w:line="578" w:lineRule="exact"/>
        <w:ind w:firstLine="627" w:firstLineChars="196"/>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2.1熟悉和理解谈判文件和停止评审。</w:t>
      </w:r>
    </w:p>
    <w:p>
      <w:pPr>
        <w:spacing w:line="578" w:lineRule="exact"/>
        <w:ind w:firstLine="627" w:firstLineChars="196"/>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2.1.1 谈判小组正式评审前，应当对谈判文件进行熟悉和理解，内容主要包括谈判文件中供应商资格条件要求、采购项目技术、服务和商务要求、评审方法和标准、政府采购政策要求以及采购合同主要条款等。</w:t>
      </w:r>
    </w:p>
    <w:p>
      <w:pPr>
        <w:spacing w:line="578" w:lineRule="exact"/>
        <w:ind w:firstLine="627" w:firstLineChars="196"/>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2.1.2 本谈判文件有下列情形之一的，谈判小组应当停止评审：</w:t>
      </w:r>
    </w:p>
    <w:p>
      <w:pPr>
        <w:spacing w:line="578" w:lineRule="exact"/>
        <w:ind w:firstLine="627" w:firstLineChars="196"/>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（1）谈判文件的规定存在歧义、重大缺陷的；</w:t>
      </w:r>
    </w:p>
    <w:p>
      <w:pPr>
        <w:spacing w:line="578" w:lineRule="exact"/>
        <w:ind w:firstLine="627" w:firstLineChars="196"/>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（2）谈判文件明显以不合理条件对供应商实行差别待遇或者歧视待遇的；</w:t>
      </w:r>
    </w:p>
    <w:p>
      <w:pPr>
        <w:spacing w:line="578" w:lineRule="exact"/>
        <w:ind w:firstLine="627" w:firstLineChars="196"/>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（3）采购项目属于国家规定的优先、强制采购范围，但是谈判文件未依法体现优先、强制采购相关规定的；</w:t>
      </w:r>
    </w:p>
    <w:p>
      <w:pPr>
        <w:spacing w:line="578" w:lineRule="exact"/>
        <w:ind w:firstLine="627" w:firstLineChars="196"/>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w:t>
      </w:r>
      <w:r>
        <w:rPr>
          <w:rFonts w:ascii="仿宋_GB2312" w:hAnsi="仿宋_GB2312" w:eastAsia="仿宋_GB2312" w:cs="仿宋_GB2312"/>
          <w:color w:val="auto"/>
          <w:highlight w:val="none"/>
        </w:rPr>
        <w:t>4</w:t>
      </w:r>
      <w:r>
        <w:rPr>
          <w:rFonts w:hint="eastAsia" w:ascii="仿宋_GB2312" w:hAnsi="仿宋_GB2312" w:eastAsia="仿宋_GB2312" w:cs="仿宋_GB2312"/>
          <w:color w:val="auto"/>
          <w:highlight w:val="none"/>
        </w:rPr>
        <w:t>）谈判文件载明的成交原则不合法的；</w:t>
      </w:r>
    </w:p>
    <w:p>
      <w:pPr>
        <w:spacing w:line="578" w:lineRule="exact"/>
        <w:ind w:firstLine="627" w:firstLineChars="196"/>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w:t>
      </w:r>
      <w:r>
        <w:rPr>
          <w:rFonts w:ascii="仿宋_GB2312" w:hAnsi="仿宋_GB2312" w:eastAsia="仿宋_GB2312" w:cs="仿宋_GB2312"/>
          <w:color w:val="auto"/>
          <w:highlight w:val="none"/>
        </w:rPr>
        <w:t>5</w:t>
      </w:r>
      <w:r>
        <w:rPr>
          <w:rFonts w:hint="eastAsia" w:ascii="仿宋_GB2312" w:hAnsi="仿宋_GB2312" w:eastAsia="仿宋_GB2312" w:cs="仿宋_GB2312"/>
          <w:color w:val="auto"/>
          <w:highlight w:val="none"/>
        </w:rPr>
        <w:t>）谈判文件有违反国家其他有关强制性规定的情形。</w:t>
      </w:r>
    </w:p>
    <w:p>
      <w:pPr>
        <w:spacing w:line="578" w:lineRule="exact"/>
        <w:ind w:firstLine="627" w:firstLineChars="196"/>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2.1.3 出现本条2.1.2规定应当停止评审情形的，谈判小组应当向采购人书面说明情况。除本条规定的情形外，谈判小组不得以任何方式和理由停止评审。</w:t>
      </w:r>
    </w:p>
    <w:p>
      <w:pPr>
        <w:spacing w:line="578" w:lineRule="exact"/>
        <w:ind w:firstLine="627" w:firstLineChars="196"/>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2.2 资格性审查。</w:t>
      </w:r>
    </w:p>
    <w:p>
      <w:pPr>
        <w:spacing w:line="578" w:lineRule="exact"/>
        <w:ind w:firstLine="627" w:firstLineChars="196"/>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2.2.1本项目需要谈判小组进行资格性检查。</w:t>
      </w:r>
    </w:p>
    <w:p>
      <w:pPr>
        <w:spacing w:line="578" w:lineRule="exact"/>
        <w:ind w:firstLine="627" w:firstLineChars="196"/>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2.2.2谈判小组应依据法律法规和谈判文件的规定，对响应文件是否按照规定要求提供资格性证明材料、是否属于禁止参加谈判的供应商等进行审查，以确定供应商是否具备谈判资格。</w:t>
      </w:r>
    </w:p>
    <w:p>
      <w:pPr>
        <w:spacing w:line="578" w:lineRule="exact"/>
        <w:ind w:firstLine="627" w:firstLineChars="196"/>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2.2.3资格性审查结束后，谈判小组应当出具资格性审查报告，没有通过资格审查的供应商，谈判小组应当在资格审查报告中说明原因。</w:t>
      </w:r>
    </w:p>
    <w:p>
      <w:pPr>
        <w:spacing w:line="578" w:lineRule="exact"/>
        <w:ind w:firstLine="627" w:firstLineChars="196"/>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2.2.4谈判小组宣布未通过资格性审查的供应商名单时，应当告知供应商未通过审查的原因。</w:t>
      </w:r>
    </w:p>
    <w:p>
      <w:pPr>
        <w:spacing w:line="578" w:lineRule="exact"/>
        <w:ind w:firstLine="627" w:firstLineChars="196"/>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2.3通过资格性审查的供应商不足3家的，终止本次采购活动，并发布终止采购活动公告。</w:t>
      </w:r>
    </w:p>
    <w:p>
      <w:pPr>
        <w:spacing w:line="578" w:lineRule="exact"/>
        <w:ind w:firstLine="627" w:firstLineChars="196"/>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2.4 谈判</w:t>
      </w:r>
    </w:p>
    <w:p>
      <w:pPr>
        <w:spacing w:line="578" w:lineRule="exact"/>
        <w:ind w:firstLine="627" w:firstLineChars="196"/>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2.4.1评审小组所有成员集中与单一供应商分别进行一轮或多轮谈判，并给予所有参加谈判的供应商平等的谈判机会。谈判顺序以现场抽签的方式确定，谈判过程中，评审小组可以根据谈判情况调整谈判轮次。</w:t>
      </w:r>
    </w:p>
    <w:p>
      <w:pPr>
        <w:spacing w:line="578" w:lineRule="exact"/>
        <w:ind w:firstLine="627" w:firstLineChars="196"/>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2.4.2每轮谈判开始前，评审小组应根据竞争性谈判文件的规定，并结合各供应商的响应文件拟定谈判内容。</w:t>
      </w:r>
    </w:p>
    <w:p>
      <w:pPr>
        <w:spacing w:line="578" w:lineRule="exact"/>
        <w:ind w:firstLine="627" w:firstLineChars="196"/>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2.4.3在谈判过程中，评审小组可以根据竞争性谈判文件和谈判情况实质性变动竞争性谈判文件的技术、服务要求以及合同草案条款，但不得变动竞争性谈判文件中的其他内容。实质性变动的内容，须经采购人代表书面确认。</w:t>
      </w:r>
    </w:p>
    <w:p>
      <w:pPr>
        <w:spacing w:line="578" w:lineRule="exact"/>
        <w:ind w:firstLine="627" w:firstLineChars="196"/>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2.4.4对竞争性谈判文件作出的实质性变动是竞争性谈判文件的有效组成部分，评审小组应当及时以书面形式同时通知所有参加谈判的供应商。</w:t>
      </w:r>
    </w:p>
    <w:p>
      <w:pPr>
        <w:spacing w:line="578" w:lineRule="exact"/>
        <w:ind w:firstLine="627" w:firstLineChars="196"/>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2.4.5谈判过程中，竞争性谈判文件变动的，供应商应当按照竞争性谈判文件的变动情况和评审小组的要求重新提交响应文件，并由其法定代表人/单位负责人/本人或其授权代表签字（注：供应商为法人的，应当由其法定代表人或者授权代表签字确认；供应商为其他组织的，应当由其单位负责人或者授权代表签字确认；供应商为自然人的，应当由其本人或者授权代表签字确认）或者加盖公章，谈判过程中，供应商根据谈判情况自行决定变更其响应文件的（注：仅针对竞争性谈判文件的技术、服务要求以及合同草案条款，供应商可以自行决定变更其响应文件），评审小组不得拒绝，并应当给予供应商必要的时间，但是供应商变更其响应文件，应当以有利于满足竞争性谈判文件要求为原则，不得变更为不利于满足竞争性谈判文件规定，否则，其响应文件作为无效处理。</w:t>
      </w:r>
    </w:p>
    <w:p>
      <w:pPr>
        <w:spacing w:line="578" w:lineRule="exact"/>
        <w:ind w:firstLine="627" w:firstLineChars="196"/>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2.4.6谈判过程中，评审小组对响应文件的有效性、完整性和响应程度进行审查，审查中发现供应商响应文件属于下列情况之一的，应按照无效响应文件处理：</w:t>
      </w:r>
    </w:p>
    <w:p>
      <w:pPr>
        <w:spacing w:line="578" w:lineRule="exact"/>
        <w:ind w:firstLine="627" w:firstLineChars="196"/>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（1）响应文件正副本数量不足的；</w:t>
      </w:r>
    </w:p>
    <w:p>
      <w:pPr>
        <w:spacing w:line="578" w:lineRule="exact"/>
        <w:ind w:firstLine="627" w:firstLineChars="196"/>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（2）响应文件组成明显不符合竞争性谈判文件的规定要求，影响评审委员会评判的；</w:t>
      </w:r>
    </w:p>
    <w:p>
      <w:pPr>
        <w:spacing w:line="578" w:lineRule="exact"/>
        <w:ind w:firstLine="627" w:firstLineChars="196"/>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（3）响应文件的语言、计量单位、知识产权、响应有效期等不符合竞争性谈判文件的规定，影响评审小组评判的；</w:t>
      </w:r>
    </w:p>
    <w:p>
      <w:pPr>
        <w:spacing w:line="578" w:lineRule="exact"/>
        <w:ind w:firstLine="627" w:firstLineChars="196"/>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（4）经最终谈判后，供应商的响应文件仍不能完全响应竞争性谈判文件的实质性要求的；</w:t>
      </w:r>
    </w:p>
    <w:p>
      <w:pPr>
        <w:spacing w:line="578" w:lineRule="exact"/>
        <w:ind w:firstLine="627" w:firstLineChars="196"/>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（5）未载明或者载明的采购项目履约时间、方式、数量及其他政府采购合同实质性内容与本竞争性谈判文件要求不一致，且采购单位无法接受的。</w:t>
      </w:r>
    </w:p>
    <w:p>
      <w:pPr>
        <w:spacing w:line="578" w:lineRule="exact"/>
        <w:ind w:firstLine="627" w:firstLineChars="196"/>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（6）属于竞争性谈判文件中无效响应情形的。</w:t>
      </w:r>
    </w:p>
    <w:p>
      <w:pPr>
        <w:spacing w:line="578" w:lineRule="exact"/>
        <w:ind w:firstLine="627" w:firstLineChars="196"/>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但评审小组对响应文件签署、盖章等进行审查过程中，有下列情形的，评审小组应当评定为不影响整个响应文件有效性和采购活动公平竞争，并通过响应文件的有效性审查：</w:t>
      </w:r>
    </w:p>
    <w:p>
      <w:pPr>
        <w:spacing w:line="578" w:lineRule="exact"/>
        <w:ind w:firstLine="627" w:firstLineChars="196"/>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（1）响应文件存在个别地方（总数不能超过2个）没有法定代表人/单位负责人签字，但有法定代表人/单位负责人的私人印章或者有效授权代理人签字的；</w:t>
      </w:r>
    </w:p>
    <w:p>
      <w:pPr>
        <w:spacing w:line="578" w:lineRule="exact"/>
        <w:ind w:firstLine="627" w:firstLineChars="196"/>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（2）响应文件除竞争性谈判文件明确要求加盖单位(法人)公章的以外，其他地方以相关专用章加盖的；</w:t>
      </w:r>
    </w:p>
    <w:p>
      <w:pPr>
        <w:spacing w:line="578" w:lineRule="exact"/>
        <w:ind w:firstLine="627" w:firstLineChars="196"/>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（3）以骑缝章的形式代替响应文件内容逐页盖章的（但是骑缝章模糊不清，印章名称无法辨认的除外）。</w:t>
      </w:r>
    </w:p>
    <w:p>
      <w:pPr>
        <w:spacing w:line="578" w:lineRule="exact"/>
        <w:ind w:firstLine="627" w:firstLineChars="196"/>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谈判小组对所有响应文件的有效性、完整性和响应程度进行审查后，向采购</w:t>
      </w:r>
      <w:r>
        <w:rPr>
          <w:rFonts w:hint="eastAsia" w:ascii="仿宋_GB2312" w:hAnsi="仿宋_GB2312" w:eastAsia="仿宋_GB2312" w:cs="仿宋_GB2312"/>
          <w:color w:val="auto"/>
          <w:highlight w:val="none"/>
          <w:lang w:val="en-US" w:eastAsia="zh-CN"/>
        </w:rPr>
        <w:t>人</w:t>
      </w:r>
      <w:r>
        <w:rPr>
          <w:rFonts w:hint="eastAsia" w:ascii="仿宋_GB2312" w:hAnsi="仿宋_GB2312" w:eastAsia="仿宋_GB2312" w:cs="仿宋_GB2312"/>
          <w:color w:val="auto"/>
          <w:highlight w:val="none"/>
        </w:rPr>
        <w:t>出具响应性审查报告。没有通过有效性、完整性和响应程度审查的供应商，谈判小组应在响应性审查报告中说明原因。</w:t>
      </w:r>
    </w:p>
    <w:p>
      <w:pPr>
        <w:spacing w:line="578" w:lineRule="exact"/>
        <w:ind w:firstLine="627" w:firstLineChars="196"/>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2.4.7谈判过程中，谈判的任何一方不得透露与谈判有关的其他供应商的技术资料、价格和其他信息。</w:t>
      </w:r>
    </w:p>
    <w:p>
      <w:pPr>
        <w:spacing w:line="578" w:lineRule="exact"/>
        <w:ind w:firstLine="627" w:firstLineChars="196"/>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2.4.8谈判过程中，评审小组发现或者知晓供应商存在违法、违纪行为的，谈判小组应当将该供应商响应文件作无效处理，不允许其提交最后报价。</w:t>
      </w:r>
    </w:p>
    <w:p>
      <w:pPr>
        <w:spacing w:line="578" w:lineRule="exact"/>
        <w:ind w:firstLine="627" w:firstLineChars="196"/>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 xml:space="preserve">2.4.9谈判完成后，评审小组应出具谈判情况记录表，谈判情况记录表需包含谈判内容、谈判意见、实质性变动内容等。   </w:t>
      </w:r>
    </w:p>
    <w:p>
      <w:pPr>
        <w:spacing w:line="578" w:lineRule="exact"/>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2.5最后报价。</w:t>
      </w:r>
    </w:p>
    <w:p>
      <w:pPr>
        <w:spacing w:line="578" w:lineRule="exact"/>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2.5.1谈判文件能够详细列明采购标的的技术、服务要求的，谈判结束后，谈判小组应当要求所有实质性响应的供应商在规定时间内提交最后报价，提交最后报价的供应商不得少于3家。或谈判文件不能详细列明采购标的的技术、服务要求，需经谈判由供应商提供最终设计方案或解决方案的，谈判结束后，谈判小组应当按照少数服从多数的原则投票推荐3家以上供应商的设计方案或者解决方案，并要求其在规定时间内提交最后报价。</w:t>
      </w:r>
    </w:p>
    <w:p>
      <w:pPr>
        <w:spacing w:line="578" w:lineRule="exact"/>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2.5.2谈判结束后，谈判小组应当要求所有实质性响应的供应商在规定时间内提交最后报价。两轮（若有）以上报价的，供应商在未提高响应文件中承诺的产品及其服务质量的情况下，其最后报价不得高于对该项目之前的报价，否则，谈判小组应当对其响应文件按无效处理，并书面告知供应商，说明理由。</w:t>
      </w:r>
    </w:p>
    <w:p>
      <w:pPr>
        <w:spacing w:line="578" w:lineRule="exact"/>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2.5.3供应商最后报价应当由法定代表人/主要负责人/本人或其授权代表签字确认或加盖公章。最后报价是供应商响应文件的有效组成部分。</w:t>
      </w:r>
    </w:p>
    <w:p>
      <w:pPr>
        <w:spacing w:line="578" w:lineRule="exact"/>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2.5.4最后报价中的算术错误将按以下方法修正：响应文件的大写金额和小写金额不一致的，以大写金额为准；总价金额与按单价汇总金额不一致的，以单价金额计算结果为准；单价金额小数点有明显错位的，应以总价为准，并修改单价。如果小写、大写金额和单价、总价金额出现明显文字错误，应当按照澄清、说明或者更正程序先纠正错误后，再行修正，不得不经过澄清、说明或者更正，直接将供应商响应文件作为无效处理。对不同文字文本响应文件的解释发生异议的，以中文文本为准。</w:t>
      </w:r>
    </w:p>
    <w:p>
      <w:pPr>
        <w:spacing w:line="578" w:lineRule="exact"/>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2.6 谈判小组复核。供应商最后报价结束后，谈判小组应当进行评审复核，对拟推荐为成交候选供应商的、报价最低的、供应商资格审查未通过的、供应商响应文件作无效处理的重点复核。</w:t>
      </w:r>
    </w:p>
    <w:p>
      <w:pPr>
        <w:spacing w:line="578" w:lineRule="exact"/>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2.7推荐成交候选供应商。谈判小组复核后，应当按照供应商的报价由低到高顺序推荐3家以上成交候选供应商，并编写谈判报告。供应商报价相同的，成交候选供应商并列，由采购人自主采取公平择优的方式选择成交供应商。</w:t>
      </w:r>
    </w:p>
    <w:p>
      <w:pPr>
        <w:spacing w:line="578" w:lineRule="exact"/>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2.8采购</w:t>
      </w:r>
      <w:r>
        <w:rPr>
          <w:rFonts w:hint="eastAsia" w:ascii="仿宋_GB2312" w:hAnsi="仿宋_GB2312" w:eastAsia="仿宋_GB2312" w:cs="仿宋_GB2312"/>
          <w:color w:val="auto"/>
          <w:highlight w:val="none"/>
          <w:lang w:val="en-US" w:eastAsia="zh-CN"/>
        </w:rPr>
        <w:t>人</w:t>
      </w:r>
      <w:r>
        <w:rPr>
          <w:rFonts w:hint="eastAsia" w:ascii="仿宋_GB2312" w:hAnsi="仿宋_GB2312" w:eastAsia="仿宋_GB2312" w:cs="仿宋_GB2312"/>
          <w:color w:val="auto"/>
          <w:highlight w:val="none"/>
        </w:rPr>
        <w:t>现场复核评审结果。</w:t>
      </w:r>
    </w:p>
    <w:p>
      <w:pPr>
        <w:spacing w:line="578" w:lineRule="exact"/>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2.8.1推荐成交候选供应商后，谈判小组拟出具谈判报告前，采购</w:t>
      </w:r>
      <w:r>
        <w:rPr>
          <w:rFonts w:hint="eastAsia" w:ascii="仿宋_GB2312" w:hAnsi="仿宋_GB2312" w:eastAsia="仿宋_GB2312" w:cs="仿宋_GB2312"/>
          <w:color w:val="auto"/>
          <w:highlight w:val="none"/>
          <w:lang w:val="en-US" w:eastAsia="zh-CN"/>
        </w:rPr>
        <w:t>人</w:t>
      </w:r>
      <w:r>
        <w:rPr>
          <w:rFonts w:hint="eastAsia" w:ascii="仿宋_GB2312" w:hAnsi="仿宋_GB2312" w:eastAsia="仿宋_GB2312" w:cs="仿宋_GB2312"/>
          <w:color w:val="auto"/>
          <w:highlight w:val="none"/>
        </w:rPr>
        <w:t>应当组织2名以上的本单位工作人员，在采购现场监督人员的监督之下，依据有关的法律制度和谈判文件对评审结果进行复核，</w:t>
      </w:r>
      <w:r>
        <w:rPr>
          <w:rFonts w:hint="eastAsia" w:ascii="仿宋_GB2312" w:hAnsi="仿宋_GB2312" w:eastAsia="仿宋_GB2312" w:cs="仿宋_GB2312"/>
          <w:color w:val="auto"/>
          <w:highlight w:val="none"/>
          <w:lang w:val="en-US" w:eastAsia="zh-CN"/>
        </w:rPr>
        <w:t>并对复核结果签字确认，</w:t>
      </w:r>
      <w:r>
        <w:rPr>
          <w:rFonts w:hint="eastAsia" w:ascii="仿宋_GB2312" w:hAnsi="仿宋_GB2312" w:eastAsia="仿宋_GB2312" w:cs="仿宋_GB2312"/>
          <w:color w:val="auto"/>
          <w:highlight w:val="none"/>
        </w:rPr>
        <w:t>存在资格性审查认定错误的，采购</w:t>
      </w:r>
      <w:r>
        <w:rPr>
          <w:rFonts w:hint="eastAsia" w:ascii="仿宋_GB2312" w:hAnsi="仿宋_GB2312" w:eastAsia="仿宋_GB2312" w:cs="仿宋_GB2312"/>
          <w:color w:val="auto"/>
          <w:highlight w:val="none"/>
          <w:lang w:val="en-US" w:eastAsia="zh-CN"/>
        </w:rPr>
        <w:t>人</w:t>
      </w:r>
      <w:r>
        <w:rPr>
          <w:rFonts w:hint="eastAsia" w:ascii="仿宋_GB2312" w:hAnsi="仿宋_GB2312" w:eastAsia="仿宋_GB2312" w:cs="仿宋_GB2312"/>
          <w:color w:val="auto"/>
          <w:highlight w:val="none"/>
        </w:rPr>
        <w:t>应当根据情况书面建议谈判小组现场修改评审结果。由谈判小组自主决定是否采纳采购</w:t>
      </w:r>
      <w:r>
        <w:rPr>
          <w:rFonts w:hint="eastAsia" w:ascii="仿宋_GB2312" w:hAnsi="仿宋_GB2312" w:eastAsia="仿宋_GB2312" w:cs="仿宋_GB2312"/>
          <w:color w:val="auto"/>
          <w:highlight w:val="none"/>
          <w:lang w:val="en-US" w:eastAsia="zh-CN"/>
        </w:rPr>
        <w:t>人</w:t>
      </w:r>
      <w:r>
        <w:rPr>
          <w:rFonts w:hint="eastAsia" w:ascii="仿宋_GB2312" w:hAnsi="仿宋_GB2312" w:eastAsia="仿宋_GB2312" w:cs="仿宋_GB2312"/>
          <w:color w:val="auto"/>
          <w:highlight w:val="none"/>
        </w:rPr>
        <w:t>的书面建议，并承担独立评审责任。谈判小组采纳采购</w:t>
      </w:r>
      <w:r>
        <w:rPr>
          <w:rFonts w:hint="eastAsia" w:ascii="仿宋_GB2312" w:hAnsi="仿宋_GB2312" w:eastAsia="仿宋_GB2312" w:cs="仿宋_GB2312"/>
          <w:color w:val="auto"/>
          <w:highlight w:val="none"/>
          <w:lang w:val="en-US" w:eastAsia="zh-CN"/>
        </w:rPr>
        <w:t>人</w:t>
      </w:r>
      <w:r>
        <w:rPr>
          <w:rFonts w:hint="eastAsia" w:ascii="仿宋_GB2312" w:hAnsi="仿宋_GB2312" w:eastAsia="仿宋_GB2312" w:cs="仿宋_GB2312"/>
          <w:color w:val="auto"/>
          <w:highlight w:val="none"/>
        </w:rPr>
        <w:t>书面建议的，应当按照规定现场修改评审结果或者重新评审，并在谈判报告中详细记载有关事宜；不采纳采购</w:t>
      </w:r>
      <w:r>
        <w:rPr>
          <w:rFonts w:hint="eastAsia" w:ascii="仿宋_GB2312" w:hAnsi="仿宋_GB2312" w:eastAsia="仿宋_GB2312" w:cs="仿宋_GB2312"/>
          <w:color w:val="auto"/>
          <w:highlight w:val="none"/>
          <w:lang w:val="en-US" w:eastAsia="zh-CN"/>
        </w:rPr>
        <w:t>人</w:t>
      </w:r>
      <w:r>
        <w:rPr>
          <w:rFonts w:hint="eastAsia" w:ascii="仿宋_GB2312" w:hAnsi="仿宋_GB2312" w:eastAsia="仿宋_GB2312" w:cs="仿宋_GB2312"/>
          <w:color w:val="auto"/>
          <w:highlight w:val="none"/>
        </w:rPr>
        <w:t>书面建议的，应当书面说明理由。采购</w:t>
      </w:r>
      <w:r>
        <w:rPr>
          <w:rFonts w:hint="eastAsia" w:ascii="仿宋_GB2312" w:hAnsi="仿宋_GB2312" w:eastAsia="仿宋_GB2312" w:cs="仿宋_GB2312"/>
          <w:color w:val="auto"/>
          <w:highlight w:val="none"/>
          <w:lang w:val="en-US" w:eastAsia="zh-CN"/>
        </w:rPr>
        <w:t>人</w:t>
      </w:r>
      <w:r>
        <w:rPr>
          <w:rFonts w:hint="eastAsia" w:ascii="仿宋_GB2312" w:hAnsi="仿宋_GB2312" w:eastAsia="仿宋_GB2312" w:cs="仿宋_GB2312"/>
          <w:color w:val="auto"/>
          <w:highlight w:val="none"/>
        </w:rPr>
        <w:t>书面建议未被谈判小组采纳的，应当接照规定程序要求继续组织实施采购活动，不得擅自中止采购活动。</w:t>
      </w:r>
    </w:p>
    <w:p>
      <w:pPr>
        <w:spacing w:line="578" w:lineRule="exact"/>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采购</w:t>
      </w:r>
      <w:r>
        <w:rPr>
          <w:rFonts w:hint="eastAsia" w:ascii="仿宋_GB2312" w:hAnsi="仿宋_GB2312" w:eastAsia="仿宋_GB2312" w:cs="仿宋_GB2312"/>
          <w:color w:val="auto"/>
          <w:highlight w:val="none"/>
          <w:lang w:val="en-US" w:eastAsia="zh-CN"/>
        </w:rPr>
        <w:t>人</w:t>
      </w:r>
      <w:r>
        <w:rPr>
          <w:rFonts w:hint="eastAsia" w:ascii="仿宋_GB2312" w:hAnsi="仿宋_GB2312" w:eastAsia="仿宋_GB2312" w:cs="仿宋_GB2312"/>
          <w:color w:val="auto"/>
          <w:highlight w:val="none"/>
        </w:rPr>
        <w:t>复核过程中，谈判小组成员不得离开评审现场。</w:t>
      </w:r>
    </w:p>
    <w:p>
      <w:pPr>
        <w:spacing w:line="578" w:lineRule="exact"/>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2.8.2有下列情形之一的，不得现场修改评审结果：</w:t>
      </w:r>
    </w:p>
    <w:p>
      <w:pPr>
        <w:spacing w:line="578" w:lineRule="exact"/>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（1）谈判小组已经出具谈判报告并且离开评审现场的；</w:t>
      </w:r>
    </w:p>
    <w:p>
      <w:pPr>
        <w:spacing w:line="578" w:lineRule="exact"/>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（2）采购</w:t>
      </w:r>
      <w:r>
        <w:rPr>
          <w:rFonts w:hint="eastAsia" w:ascii="仿宋_GB2312" w:hAnsi="仿宋_GB2312" w:eastAsia="仿宋_GB2312" w:cs="仿宋_GB2312"/>
          <w:color w:val="auto"/>
          <w:highlight w:val="none"/>
          <w:lang w:val="en-US" w:eastAsia="zh-CN"/>
        </w:rPr>
        <w:t>人</w:t>
      </w:r>
      <w:r>
        <w:rPr>
          <w:rFonts w:hint="eastAsia" w:ascii="仿宋_GB2312" w:hAnsi="仿宋_GB2312" w:eastAsia="仿宋_GB2312" w:cs="仿宋_GB2312"/>
          <w:color w:val="auto"/>
          <w:highlight w:val="none"/>
        </w:rPr>
        <w:t>现场复核时，复核工作人员数量不足的；</w:t>
      </w:r>
    </w:p>
    <w:p>
      <w:pPr>
        <w:spacing w:line="578" w:lineRule="exact"/>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（3</w:t>
      </w:r>
      <w:r>
        <w:rPr>
          <w:rFonts w:hint="eastAsia" w:ascii="仿宋_GB2312" w:hAnsi="仿宋_GB2312" w:eastAsia="仿宋_GB2312" w:cs="仿宋_GB2312"/>
          <w:color w:val="auto"/>
          <w:highlight w:val="none"/>
          <w:lang w:eastAsia="zh-CN"/>
        </w:rPr>
        <w:t>）</w:t>
      </w:r>
      <w:r>
        <w:rPr>
          <w:rFonts w:hint="eastAsia" w:ascii="仿宋_GB2312" w:hAnsi="仿宋_GB2312" w:eastAsia="仿宋_GB2312" w:cs="仿宋_GB2312"/>
          <w:color w:val="auto"/>
          <w:highlight w:val="none"/>
        </w:rPr>
        <w:t>采购</w:t>
      </w:r>
      <w:r>
        <w:rPr>
          <w:rFonts w:hint="eastAsia" w:ascii="仿宋_GB2312" w:hAnsi="仿宋_GB2312" w:eastAsia="仿宋_GB2312" w:cs="仿宋_GB2312"/>
          <w:color w:val="auto"/>
          <w:highlight w:val="none"/>
          <w:lang w:val="en-US" w:eastAsia="zh-CN"/>
        </w:rPr>
        <w:t>人</w:t>
      </w:r>
      <w:r>
        <w:rPr>
          <w:rFonts w:hint="eastAsia" w:ascii="仿宋_GB2312" w:hAnsi="仿宋_GB2312" w:eastAsia="仿宋_GB2312" w:cs="仿宋_GB2312"/>
          <w:color w:val="auto"/>
          <w:highlight w:val="none"/>
        </w:rPr>
        <w:t>现场复核时，没有采购监督人员现场监督的；</w:t>
      </w:r>
    </w:p>
    <w:p>
      <w:pPr>
        <w:spacing w:line="578" w:lineRule="exact"/>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（4）采购</w:t>
      </w:r>
      <w:r>
        <w:rPr>
          <w:rFonts w:hint="eastAsia" w:ascii="仿宋_GB2312" w:hAnsi="仿宋_GB2312" w:eastAsia="仿宋_GB2312" w:cs="仿宋_GB2312"/>
          <w:color w:val="auto"/>
          <w:highlight w:val="none"/>
          <w:lang w:val="en-US" w:eastAsia="zh-CN"/>
        </w:rPr>
        <w:t>人</w:t>
      </w:r>
      <w:r>
        <w:rPr>
          <w:rFonts w:hint="eastAsia" w:ascii="仿宋_GB2312" w:hAnsi="仿宋_GB2312" w:eastAsia="仿宋_GB2312" w:cs="仿宋_GB2312"/>
          <w:color w:val="auto"/>
          <w:highlight w:val="none"/>
        </w:rPr>
        <w:t>现场复核内容超出规定范围的；</w:t>
      </w:r>
    </w:p>
    <w:p>
      <w:pPr>
        <w:spacing w:line="578" w:lineRule="exact"/>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（5）采购</w:t>
      </w:r>
      <w:r>
        <w:rPr>
          <w:rFonts w:hint="eastAsia" w:ascii="仿宋_GB2312" w:hAnsi="仿宋_GB2312" w:eastAsia="仿宋_GB2312" w:cs="仿宋_GB2312"/>
          <w:color w:val="auto"/>
          <w:highlight w:val="none"/>
          <w:lang w:val="en-US" w:eastAsia="zh-CN"/>
        </w:rPr>
        <w:t>人</w:t>
      </w:r>
      <w:r>
        <w:rPr>
          <w:rFonts w:hint="eastAsia" w:ascii="仿宋_GB2312" w:hAnsi="仿宋_GB2312" w:eastAsia="仿宋_GB2312" w:cs="仿宋_GB2312"/>
          <w:color w:val="auto"/>
          <w:highlight w:val="none"/>
        </w:rPr>
        <w:t>未提供书面建议的。</w:t>
      </w:r>
    </w:p>
    <w:p>
      <w:pPr>
        <w:spacing w:line="578" w:lineRule="exact"/>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2.9编写谈判报告。谈判小组推荐成交候选供应商后，应向采购</w:t>
      </w:r>
      <w:r>
        <w:rPr>
          <w:rFonts w:hint="eastAsia" w:ascii="仿宋_GB2312" w:hAnsi="仿宋_GB2312" w:eastAsia="仿宋_GB2312" w:cs="仿宋_GB2312"/>
          <w:color w:val="auto"/>
          <w:highlight w:val="none"/>
          <w:lang w:val="en-US" w:eastAsia="zh-CN"/>
        </w:rPr>
        <w:t>人</w:t>
      </w:r>
      <w:r>
        <w:rPr>
          <w:rFonts w:hint="eastAsia" w:ascii="仿宋_GB2312" w:hAnsi="仿宋_GB2312" w:eastAsia="仿宋_GB2312" w:cs="仿宋_GB2312"/>
          <w:color w:val="auto"/>
          <w:highlight w:val="none"/>
        </w:rPr>
        <w:t>出具谈判报告。谈判报告应当包括以下主要内容：</w:t>
      </w:r>
    </w:p>
    <w:p>
      <w:pPr>
        <w:spacing w:line="578" w:lineRule="exact"/>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（1）邀请供应商参加采购活动的具体方式和相关情况，以及参加采购活动的供应商名单；</w:t>
      </w:r>
    </w:p>
    <w:p>
      <w:pPr>
        <w:spacing w:line="578" w:lineRule="exact"/>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（2）评审日期和地点，谈判小组、谈判小组成员名单；</w:t>
      </w:r>
    </w:p>
    <w:p>
      <w:pPr>
        <w:spacing w:line="578" w:lineRule="exact"/>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（3）评审情况记录和说明，包括对供应商的资格审查情况、供应商响应文件审查情况、谈判情况、报价情况等；</w:t>
      </w:r>
    </w:p>
    <w:p>
      <w:pPr>
        <w:spacing w:line="578" w:lineRule="exact"/>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（4）推荐的成交候选人的名单及理由。</w:t>
      </w:r>
    </w:p>
    <w:p>
      <w:pPr>
        <w:spacing w:line="578" w:lineRule="exact"/>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谈判报告应当由谈判小组全体人员签字认可。谈判小组成员对谈判报告有异议的，谈判小组按照少数服从多数的原则推荐成交候选供应商，采购程序继续进行。对谈判报告有异议的谈判小组成员，应当在报告上签署不同意见并说明理由，由谈判小组书面记录相关情况。谈判小组成员拒绝在报告上签字又不书面说明其不同意见和理由的，视为同意谈判报告。</w:t>
      </w:r>
    </w:p>
    <w:p>
      <w:pPr>
        <w:spacing w:line="578" w:lineRule="exact"/>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2.10谈判异议处理规则。在谈判过程中，谈判小组成员对响应文件是否符合谈判文件规定存在争议的，应当以少数服从多数的原则处理，但不违背谈判文件规定。有不同意见的谈判小组成员认为认定过程和结果不符合法律法规或者谈判文件规定的，应当在谈判报告中予以反映。</w:t>
      </w:r>
    </w:p>
    <w:p>
      <w:pPr>
        <w:spacing w:line="578" w:lineRule="exact"/>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2.11供应商澄清、说明</w:t>
      </w:r>
    </w:p>
    <w:p>
      <w:pPr>
        <w:spacing w:line="578" w:lineRule="exact"/>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2.11.1谈判小组在对响应文件的有效性、完整性和响应程度进行审查时，可以要求供应商对响应文件中含义不明确、同类问题表述不一致或者有明显文字和计算错误的内容等作出必要的澄清、说明或者更正。供应商的澄清、说明或者更正不得超出响应文件的范围或者改变响应文件的实质性内容。</w:t>
      </w:r>
    </w:p>
    <w:p>
      <w:pPr>
        <w:spacing w:line="578" w:lineRule="exact"/>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2.11.2谈判小组要求供应商澄清、说明或者更正响应文件应当以书面形式作出。供应商的澄清、说明或者更正应当由法定代表人/主要负责人/本人或其授权代表签字或者加盖公章。</w:t>
      </w:r>
    </w:p>
    <w:p>
      <w:pPr>
        <w:spacing w:line="578" w:lineRule="exact"/>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2.12终止谈判采购活动。</w:t>
      </w:r>
    </w:p>
    <w:p>
      <w:pPr>
        <w:spacing w:line="578" w:lineRule="exact"/>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出现下列情形之一的，采购人应当终止竞争性谈判采购活动，发布项目终止公告并说明原因，重新开展采购活动：</w:t>
      </w:r>
    </w:p>
    <w:p>
      <w:pPr>
        <w:spacing w:line="578" w:lineRule="exact"/>
        <w:ind w:firstLine="480" w:firstLineChars="15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（1）因情况变化，不再符合规定的竞争性谈判采购方式适用情形的；</w:t>
      </w:r>
    </w:p>
    <w:p>
      <w:pPr>
        <w:spacing w:line="578" w:lineRule="exact"/>
        <w:ind w:firstLine="480" w:firstLineChars="15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（2）出现影响采购公正的违法、违规行为的；</w:t>
      </w:r>
    </w:p>
    <w:p>
      <w:pPr>
        <w:spacing w:line="578" w:lineRule="exact"/>
        <w:ind w:firstLine="480" w:firstLineChars="15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（3）在采购过程中符合要求的供应商或者报价未超过采购预算的供应商不足3家的。</w:t>
      </w:r>
    </w:p>
    <w:p>
      <w:pPr>
        <w:tabs>
          <w:tab w:val="left" w:pos="851"/>
        </w:tabs>
        <w:spacing w:line="578" w:lineRule="exact"/>
        <w:ind w:firstLine="642" w:firstLineChars="200"/>
        <w:rPr>
          <w:rFonts w:ascii="仿宋_GB2312" w:hAnsi="仿宋_GB2312" w:eastAsia="仿宋_GB2312" w:cs="仿宋_GB2312"/>
          <w:b/>
          <w:bCs/>
          <w:color w:val="auto"/>
          <w:highlight w:val="none"/>
        </w:rPr>
      </w:pPr>
      <w:r>
        <w:rPr>
          <w:rFonts w:hint="eastAsia" w:ascii="仿宋_GB2312" w:hAnsi="仿宋_GB2312" w:eastAsia="仿宋_GB2312" w:cs="仿宋_GB2312"/>
          <w:b/>
          <w:bCs/>
          <w:color w:val="auto"/>
          <w:highlight w:val="none"/>
        </w:rPr>
        <w:t>3.谈判纪律及注意事项</w:t>
      </w:r>
    </w:p>
    <w:p>
      <w:pPr>
        <w:tabs>
          <w:tab w:val="left" w:pos="851"/>
        </w:tabs>
        <w:spacing w:line="578" w:lineRule="exact"/>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3.1谈判小组内部讨论的情况和意见必须保密，任何人不得以任何形式透露给供应商或与供应商有关的单位或个人。</w:t>
      </w:r>
    </w:p>
    <w:p>
      <w:pPr>
        <w:tabs>
          <w:tab w:val="left" w:pos="851"/>
        </w:tabs>
        <w:spacing w:line="578" w:lineRule="exact"/>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3.2在谈判过程中，供应商不得以任何形式对谈判小组成员进行旨在影响谈判结果的私下接触，否则将取消其参与谈判的资格。</w:t>
      </w:r>
    </w:p>
    <w:p>
      <w:pPr>
        <w:tabs>
          <w:tab w:val="left" w:pos="851"/>
        </w:tabs>
        <w:spacing w:line="578" w:lineRule="exact"/>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3.3对各供应商的商业秘密，谈判小组成员应予以保密，不得泄露给其他供应商。</w:t>
      </w:r>
    </w:p>
    <w:p>
      <w:pPr>
        <w:tabs>
          <w:tab w:val="left" w:pos="851"/>
        </w:tabs>
        <w:spacing w:line="578" w:lineRule="exact"/>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3.4谈判小组独立评判，推荐成交候选人，并写出书面报告。</w:t>
      </w:r>
    </w:p>
    <w:p>
      <w:pPr>
        <w:tabs>
          <w:tab w:val="left" w:pos="851"/>
        </w:tabs>
        <w:spacing w:line="578" w:lineRule="exact"/>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3.5谈判小组可根据需要对供应商进行实地考察。</w:t>
      </w:r>
    </w:p>
    <w:p>
      <w:pPr>
        <w:spacing w:line="578" w:lineRule="exact"/>
        <w:ind w:firstLine="629" w:firstLineChars="196"/>
        <w:rPr>
          <w:rFonts w:ascii="仿宋_GB2312" w:hAnsi="仿宋_GB2312" w:eastAsia="仿宋_GB2312" w:cs="仿宋_GB2312"/>
          <w:b/>
          <w:bCs/>
          <w:color w:val="auto"/>
          <w:highlight w:val="none"/>
        </w:rPr>
      </w:pPr>
      <w:r>
        <w:rPr>
          <w:rFonts w:hint="eastAsia" w:ascii="仿宋_GB2312" w:hAnsi="仿宋_GB2312" w:eastAsia="仿宋_GB2312" w:cs="仿宋_GB2312"/>
          <w:b/>
          <w:bCs/>
          <w:color w:val="auto"/>
          <w:highlight w:val="none"/>
        </w:rPr>
        <w:t>4.确定成交供应商</w:t>
      </w:r>
    </w:p>
    <w:p>
      <w:pPr>
        <w:adjustRightInd w:val="0"/>
        <w:snapToGrid w:val="0"/>
        <w:spacing w:line="578" w:lineRule="exact"/>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4.1 采购</w:t>
      </w:r>
      <w:r>
        <w:rPr>
          <w:rFonts w:hint="eastAsia" w:ascii="仿宋_GB2312" w:hAnsi="仿宋_GB2312" w:eastAsia="仿宋_GB2312" w:cs="仿宋_GB2312"/>
          <w:color w:val="auto"/>
          <w:highlight w:val="none"/>
          <w:lang w:val="en-US" w:eastAsia="zh-CN"/>
        </w:rPr>
        <w:t>人</w:t>
      </w:r>
      <w:r>
        <w:rPr>
          <w:rFonts w:hint="eastAsia" w:ascii="仿宋_GB2312" w:hAnsi="仿宋_GB2312" w:eastAsia="仿宋_GB2312" w:cs="仿宋_GB2312"/>
          <w:color w:val="auto"/>
          <w:highlight w:val="none"/>
        </w:rPr>
        <w:t>应当在评审结束后2个工作日内</w:t>
      </w:r>
      <w:r>
        <w:rPr>
          <w:rFonts w:hint="eastAsia" w:ascii="仿宋_GB2312" w:hAnsi="仿宋_GB2312" w:eastAsia="仿宋_GB2312" w:cs="仿宋_GB2312"/>
          <w:color w:val="auto"/>
          <w:highlight w:val="none"/>
          <w:lang w:val="en-US" w:eastAsia="zh-CN"/>
        </w:rPr>
        <w:t>对</w:t>
      </w:r>
      <w:r>
        <w:rPr>
          <w:rFonts w:hint="eastAsia" w:ascii="仿宋_GB2312" w:hAnsi="仿宋_GB2312" w:eastAsia="仿宋_GB2312" w:cs="仿宋_GB2312"/>
          <w:color w:val="auto"/>
          <w:highlight w:val="none"/>
        </w:rPr>
        <w:t>评审报告</w:t>
      </w:r>
      <w:r>
        <w:rPr>
          <w:rFonts w:hint="eastAsia" w:ascii="仿宋_GB2312" w:hAnsi="仿宋_GB2312" w:eastAsia="仿宋_GB2312" w:cs="仿宋_GB2312"/>
          <w:color w:val="auto"/>
          <w:highlight w:val="none"/>
          <w:lang w:val="en-US" w:eastAsia="zh-CN"/>
        </w:rPr>
        <w:t>予以</w:t>
      </w:r>
      <w:r>
        <w:rPr>
          <w:rFonts w:hint="eastAsia" w:ascii="仿宋_GB2312" w:hAnsi="仿宋_GB2312" w:eastAsia="仿宋_GB2312" w:cs="仿宋_GB2312"/>
          <w:color w:val="auto"/>
          <w:highlight w:val="none"/>
        </w:rPr>
        <w:t>确认；</w:t>
      </w:r>
      <w:bookmarkStart w:id="72" w:name="_Toc209847066"/>
      <w:bookmarkStart w:id="73" w:name="_Toc101250642"/>
      <w:bookmarkStart w:id="74" w:name="_Toc101174147"/>
      <w:bookmarkStart w:id="75" w:name="_Toc430773925"/>
      <w:bookmarkStart w:id="76" w:name="_Toc101338360"/>
    </w:p>
    <w:p>
      <w:pPr>
        <w:adjustRightInd w:val="0"/>
        <w:snapToGrid w:val="0"/>
        <w:spacing w:line="578" w:lineRule="exact"/>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4.2 采购人应当在收到评审报告后5个工作日内，从评审报告提出的成交候选人中，根据质量和服务均能满足</w:t>
      </w:r>
      <w:r>
        <w:rPr>
          <w:rFonts w:hint="eastAsia" w:ascii="仿宋_GB2312" w:hAnsi="仿宋_GB2312" w:eastAsia="仿宋_GB2312" w:cs="仿宋_GB2312"/>
          <w:bCs/>
          <w:color w:val="auto"/>
          <w:highlight w:val="none"/>
        </w:rPr>
        <w:t>谈判</w:t>
      </w:r>
      <w:r>
        <w:rPr>
          <w:rFonts w:hint="eastAsia" w:ascii="仿宋_GB2312" w:hAnsi="仿宋_GB2312" w:eastAsia="仿宋_GB2312" w:cs="仿宋_GB2312"/>
          <w:color w:val="auto"/>
          <w:highlight w:val="none"/>
        </w:rPr>
        <w:t>文件实质性响应要求且最后报价最低的原则确定成交供应商。</w:t>
      </w:r>
    </w:p>
    <w:bookmarkEnd w:id="72"/>
    <w:bookmarkEnd w:id="73"/>
    <w:bookmarkEnd w:id="74"/>
    <w:bookmarkEnd w:id="75"/>
    <w:bookmarkEnd w:id="76"/>
    <w:p>
      <w:pPr>
        <w:adjustRightInd w:val="0"/>
        <w:snapToGrid w:val="0"/>
        <w:spacing w:line="578" w:lineRule="exact"/>
        <w:ind w:firstLine="642" w:firstLineChars="200"/>
        <w:rPr>
          <w:rFonts w:ascii="仿宋_GB2312" w:hAnsi="仿宋_GB2312" w:eastAsia="仿宋_GB2312" w:cs="仿宋_GB2312"/>
          <w:b/>
          <w:color w:val="auto"/>
          <w:highlight w:val="none"/>
        </w:rPr>
      </w:pPr>
      <w:r>
        <w:rPr>
          <w:rFonts w:hint="eastAsia" w:ascii="仿宋_GB2312" w:hAnsi="仿宋_GB2312" w:eastAsia="仿宋_GB2312" w:cs="仿宋_GB2312"/>
          <w:b/>
          <w:color w:val="auto"/>
          <w:highlight w:val="none"/>
        </w:rPr>
        <w:t>5.成交通知书</w:t>
      </w:r>
    </w:p>
    <w:p>
      <w:pPr>
        <w:adjustRightInd w:val="0"/>
        <w:snapToGrid w:val="0"/>
        <w:spacing w:line="578" w:lineRule="exact"/>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5.1 成交通知书为签订采购合同的依据之一，是合同的有效组成部分。</w:t>
      </w:r>
    </w:p>
    <w:p>
      <w:pPr>
        <w:adjustRightInd w:val="0"/>
        <w:snapToGrid w:val="0"/>
        <w:spacing w:line="578" w:lineRule="exact"/>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5.2 采购人按符合采购需求的合格供应商确定成交供应商，确定成交供应商后2个工作日内，采购</w:t>
      </w:r>
      <w:r>
        <w:rPr>
          <w:rFonts w:hint="eastAsia" w:ascii="仿宋_GB2312" w:hAnsi="仿宋_GB2312" w:eastAsia="仿宋_GB2312" w:cs="仿宋_GB2312"/>
          <w:color w:val="auto"/>
          <w:highlight w:val="none"/>
          <w:lang w:val="en-US" w:eastAsia="zh-CN"/>
        </w:rPr>
        <w:t>人</w:t>
      </w:r>
      <w:r>
        <w:rPr>
          <w:rFonts w:hint="eastAsia" w:ascii="仿宋_GB2312" w:hAnsi="仿宋_GB2312" w:eastAsia="仿宋_GB2312" w:cs="仿宋_GB2312"/>
          <w:color w:val="auto"/>
          <w:highlight w:val="none"/>
        </w:rPr>
        <w:t>在“</w:t>
      </w:r>
      <w:r>
        <w:rPr>
          <w:rFonts w:hint="eastAsia" w:ascii="仿宋_GB2312" w:hAnsi="仿宋_GB2312" w:eastAsia="仿宋_GB2312" w:cs="仿宋_GB2312"/>
          <w:bCs/>
          <w:color w:val="auto"/>
          <w:highlight w:val="none"/>
          <w:lang w:val="en-US" w:eastAsia="zh-CN"/>
        </w:rPr>
        <w:t>达州市投资有限公司官网</w:t>
      </w:r>
      <w:r>
        <w:rPr>
          <w:rFonts w:hint="eastAsia" w:ascii="仿宋_GB2312" w:hAnsi="仿宋_GB2312" w:eastAsia="仿宋_GB2312" w:cs="仿宋_GB2312"/>
          <w:color w:val="auto"/>
          <w:highlight w:val="none"/>
        </w:rPr>
        <w:t>”上公示成交结果，由采购</w:t>
      </w:r>
      <w:r>
        <w:rPr>
          <w:rFonts w:hint="eastAsia" w:ascii="仿宋_GB2312" w:hAnsi="仿宋_GB2312" w:eastAsia="仿宋_GB2312" w:cs="仿宋_GB2312"/>
          <w:color w:val="auto"/>
          <w:highlight w:val="none"/>
          <w:lang w:val="en-US" w:eastAsia="zh-CN"/>
        </w:rPr>
        <w:t>人</w:t>
      </w:r>
      <w:r>
        <w:rPr>
          <w:rFonts w:hint="eastAsia" w:ascii="仿宋_GB2312" w:hAnsi="仿宋_GB2312" w:eastAsia="仿宋_GB2312" w:cs="仿宋_GB2312"/>
          <w:color w:val="auto"/>
          <w:highlight w:val="none"/>
        </w:rPr>
        <w:t>按照相关法律法规向成交供应商发出成交通知书。</w:t>
      </w:r>
    </w:p>
    <w:p>
      <w:pPr>
        <w:adjustRightInd w:val="0"/>
        <w:snapToGrid w:val="0"/>
        <w:spacing w:line="578" w:lineRule="exact"/>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5.3 成交通知书将作为签订合同的依据。成交通知书对采购人和成交供应商均具有法律效力。成交通知书发出后，采购人改变成交结果或成交供应商无正当理由放弃成交项目的，应当依法承担相关责任。</w:t>
      </w:r>
    </w:p>
    <w:p>
      <w:pPr>
        <w:adjustRightInd w:val="0"/>
        <w:snapToGrid w:val="0"/>
        <w:spacing w:line="578" w:lineRule="exact"/>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5.4 采购人不对成交或未成交原因作出解释，也不退还响应文件。</w:t>
      </w:r>
    </w:p>
    <w:p>
      <w:pPr>
        <w:tabs>
          <w:tab w:val="left" w:pos="7665"/>
        </w:tabs>
        <w:spacing w:line="578" w:lineRule="exact"/>
        <w:ind w:firstLine="642" w:firstLineChars="200"/>
        <w:rPr>
          <w:rFonts w:ascii="仿宋_GB2312" w:hAnsi="仿宋_GB2312" w:eastAsia="仿宋_GB2312" w:cs="仿宋_GB2312"/>
          <w:b/>
          <w:color w:val="auto"/>
          <w:highlight w:val="none"/>
        </w:rPr>
      </w:pPr>
      <w:r>
        <w:rPr>
          <w:rFonts w:hint="eastAsia" w:ascii="仿宋_GB2312" w:hAnsi="仿宋_GB2312" w:eastAsia="仿宋_GB2312" w:cs="仿宋_GB2312"/>
          <w:b/>
          <w:color w:val="auto"/>
          <w:highlight w:val="none"/>
        </w:rPr>
        <w:t>6.谈判小组在采购活动中承担以下义务：</w:t>
      </w:r>
    </w:p>
    <w:p>
      <w:pPr>
        <w:tabs>
          <w:tab w:val="left" w:pos="7665"/>
        </w:tabs>
        <w:spacing w:line="578" w:lineRule="exact"/>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（一）遵守评审工作纪律；</w:t>
      </w:r>
    </w:p>
    <w:p>
      <w:pPr>
        <w:tabs>
          <w:tab w:val="left" w:pos="7665"/>
        </w:tabs>
        <w:spacing w:line="578" w:lineRule="exact"/>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（二）按照客观、公正、审慎的原则，根据谈判文件规定的评审程序、评审方法和评审标准进行独立评审；</w:t>
      </w:r>
    </w:p>
    <w:p>
      <w:pPr>
        <w:tabs>
          <w:tab w:val="left" w:pos="7665"/>
        </w:tabs>
        <w:spacing w:line="578" w:lineRule="exact"/>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（三）不得泄露评审文件、评审情况和在评审过程中获悉的商业秘密；</w:t>
      </w:r>
    </w:p>
    <w:p>
      <w:pPr>
        <w:tabs>
          <w:tab w:val="left" w:pos="7665"/>
        </w:tabs>
        <w:spacing w:line="578" w:lineRule="exact"/>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（四）及时向采购人报告评审过程中发现的供应商行贿、提供虚假材料或者串通等违法行为；</w:t>
      </w:r>
    </w:p>
    <w:p>
      <w:pPr>
        <w:tabs>
          <w:tab w:val="left" w:pos="7665"/>
        </w:tabs>
        <w:spacing w:line="578" w:lineRule="exact"/>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（五）发现谈判文件内容违反国家有关强制性规定或者谈判文件存在歧义、重大缺陷导致评审工作无法进行时，停止评审并向采购人书面说明情况；</w:t>
      </w:r>
    </w:p>
    <w:p>
      <w:pPr>
        <w:tabs>
          <w:tab w:val="left" w:pos="7665"/>
        </w:tabs>
        <w:spacing w:line="578" w:lineRule="exact"/>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（六）法律、法规和规章规定的其他义务。</w:t>
      </w:r>
    </w:p>
    <w:p>
      <w:pPr>
        <w:tabs>
          <w:tab w:val="left" w:pos="7665"/>
        </w:tabs>
        <w:spacing w:line="578" w:lineRule="exact"/>
        <w:ind w:firstLine="642" w:firstLineChars="200"/>
        <w:rPr>
          <w:rFonts w:ascii="仿宋_GB2312" w:hAnsi="仿宋_GB2312" w:eastAsia="仿宋_GB2312" w:cs="仿宋_GB2312"/>
          <w:b/>
          <w:color w:val="auto"/>
          <w:highlight w:val="none"/>
        </w:rPr>
      </w:pPr>
      <w:r>
        <w:rPr>
          <w:rFonts w:hint="eastAsia" w:ascii="仿宋_GB2312" w:hAnsi="仿宋_GB2312" w:eastAsia="仿宋_GB2312" w:cs="仿宋_GB2312"/>
          <w:b/>
          <w:color w:val="auto"/>
          <w:highlight w:val="none"/>
        </w:rPr>
        <w:t>7.评审专家在采购活动中应当遵守以下工作纪律：</w:t>
      </w:r>
    </w:p>
    <w:p>
      <w:pPr>
        <w:tabs>
          <w:tab w:val="left" w:pos="7665"/>
        </w:tabs>
        <w:spacing w:line="578" w:lineRule="exact"/>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（一）不得参加与自己有《中华人民共和国政府采购法实施条例》第九条规定的利害关系的采购项目的评标活动。发现参加了与自己有利害关系的评审活动，须主动提出回避，退出评审；</w:t>
      </w:r>
    </w:p>
    <w:p>
      <w:pPr>
        <w:tabs>
          <w:tab w:val="left" w:pos="7665"/>
        </w:tabs>
        <w:spacing w:line="578" w:lineRule="exact"/>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（二）评审前，应当将通讯工具或者相关电子设备交由采购</w:t>
      </w:r>
      <w:r>
        <w:rPr>
          <w:rFonts w:hint="eastAsia" w:ascii="仿宋_GB2312" w:hAnsi="仿宋_GB2312" w:eastAsia="仿宋_GB2312" w:cs="仿宋_GB2312"/>
          <w:color w:val="auto"/>
          <w:highlight w:val="none"/>
          <w:lang w:val="en-US" w:eastAsia="zh-CN"/>
        </w:rPr>
        <w:t>人</w:t>
      </w:r>
      <w:r>
        <w:rPr>
          <w:rFonts w:hint="eastAsia" w:ascii="仿宋_GB2312" w:hAnsi="仿宋_GB2312" w:eastAsia="仿宋_GB2312" w:cs="仿宋_GB2312"/>
          <w:color w:val="auto"/>
          <w:highlight w:val="none"/>
        </w:rPr>
        <w:t>统一保管；</w:t>
      </w:r>
    </w:p>
    <w:p>
      <w:pPr>
        <w:tabs>
          <w:tab w:val="left" w:pos="7665"/>
        </w:tabs>
        <w:spacing w:line="578" w:lineRule="exact"/>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（三）评审过程中，不得与外界联系，因发生不可预见情况，确实需要与外界联系的，应当在监督人员监督之下办理；</w:t>
      </w:r>
    </w:p>
    <w:p>
      <w:pPr>
        <w:tabs>
          <w:tab w:val="left" w:pos="7665"/>
        </w:tabs>
        <w:spacing w:line="578" w:lineRule="exact"/>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四）评审过程中，不得发表影响评审公正的倾向性、歧视性言论，不得征询或者接受采购人的倾向性意见，不得明示或暗示供应商在澄清时表达与其响应文件原义不同的意见，不得以谈判文件没有规定的评审方法和标准作为评审的依据，不得修改或者细化评审程序、评审方法、评审因素和评审标准，不得违规撰写评审意见，不得拒绝对自己的评审意见签字确认；</w:t>
      </w:r>
    </w:p>
    <w:p>
      <w:pPr>
        <w:tabs>
          <w:tab w:val="left" w:pos="7665"/>
        </w:tabs>
        <w:spacing w:line="578" w:lineRule="exact"/>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（五）在评审过程中和评审结束后，不得记录、复制或带走任何评审资料，不得向外界透露评审内容；</w:t>
      </w:r>
    </w:p>
    <w:p>
      <w:pPr>
        <w:tabs>
          <w:tab w:val="left" w:pos="7665"/>
        </w:tabs>
        <w:spacing w:line="578" w:lineRule="exact"/>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（六）评审现场服从采购</w:t>
      </w:r>
      <w:r>
        <w:rPr>
          <w:rFonts w:hint="eastAsia" w:ascii="仿宋_GB2312" w:hAnsi="仿宋_GB2312" w:eastAsia="仿宋_GB2312" w:cs="仿宋_GB2312"/>
          <w:color w:val="auto"/>
          <w:highlight w:val="none"/>
          <w:lang w:val="en-US" w:eastAsia="zh-CN"/>
        </w:rPr>
        <w:t>人</w:t>
      </w:r>
      <w:r>
        <w:rPr>
          <w:rFonts w:hint="eastAsia" w:ascii="仿宋_GB2312" w:hAnsi="仿宋_GB2312" w:eastAsia="仿宋_GB2312" w:cs="仿宋_GB2312"/>
          <w:color w:val="auto"/>
          <w:highlight w:val="none"/>
        </w:rPr>
        <w:t>工作人员的管理，接受现场监督人员的合法监督；</w:t>
      </w:r>
    </w:p>
    <w:p>
      <w:pPr>
        <w:tabs>
          <w:tab w:val="left" w:pos="7665"/>
        </w:tabs>
        <w:spacing w:line="578" w:lineRule="exact"/>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（七）遵守有关廉洁自律规定，不得私下接触供应商，不得收受供应商及有关业务单位和个人的财物或好处，不得接受采购</w:t>
      </w:r>
      <w:r>
        <w:rPr>
          <w:rFonts w:hint="eastAsia" w:ascii="仿宋_GB2312" w:hAnsi="仿宋_GB2312" w:eastAsia="仿宋_GB2312" w:cs="仿宋_GB2312"/>
          <w:color w:val="auto"/>
          <w:highlight w:val="none"/>
          <w:lang w:val="en-US" w:eastAsia="zh-CN"/>
        </w:rPr>
        <w:t>人</w:t>
      </w:r>
      <w:r>
        <w:rPr>
          <w:rFonts w:hint="eastAsia" w:ascii="仿宋_GB2312" w:hAnsi="仿宋_GB2312" w:eastAsia="仿宋_GB2312" w:cs="仿宋_GB2312"/>
          <w:color w:val="auto"/>
          <w:highlight w:val="none"/>
        </w:rPr>
        <w:t>的请托。</w:t>
      </w:r>
    </w:p>
    <w:p>
      <w:pPr>
        <w:tabs>
          <w:tab w:val="left" w:pos="7665"/>
        </w:tabs>
        <w:spacing w:line="578" w:lineRule="exact"/>
        <w:jc w:val="center"/>
        <w:outlineLvl w:val="0"/>
        <w:rPr>
          <w:rFonts w:ascii="仿宋_GB2312" w:hAnsi="仿宋_GB2312" w:eastAsia="仿宋_GB2312" w:cs="仿宋_GB2312"/>
          <w:b/>
          <w:color w:val="auto"/>
          <w:highlight w:val="none"/>
        </w:rPr>
        <w:sectPr>
          <w:pgSz w:w="11906" w:h="16838"/>
          <w:pgMar w:top="1440" w:right="1800" w:bottom="1440" w:left="1800" w:header="851" w:footer="992" w:gutter="0"/>
          <w:pgNumType w:fmt="decimal"/>
          <w:cols w:space="720" w:num="1"/>
          <w:docGrid w:type="lines" w:linePitch="312" w:charSpace="0"/>
        </w:sectPr>
      </w:pPr>
    </w:p>
    <w:p>
      <w:pPr>
        <w:tabs>
          <w:tab w:val="left" w:pos="7665"/>
        </w:tabs>
        <w:spacing w:line="578" w:lineRule="exact"/>
        <w:jc w:val="center"/>
        <w:outlineLvl w:val="0"/>
        <w:rPr>
          <w:rFonts w:ascii="黑体" w:hAnsi="黑体" w:eastAsia="黑体" w:cs="黑体"/>
          <w:bCs/>
          <w:color w:val="auto"/>
          <w:highlight w:val="none"/>
        </w:rPr>
      </w:pPr>
      <w:bookmarkStart w:id="77" w:name="_Toc2042"/>
      <w:r>
        <w:rPr>
          <w:rFonts w:hint="eastAsia" w:ascii="黑体" w:hAnsi="黑体" w:eastAsia="黑体" w:cs="黑体"/>
          <w:bCs/>
          <w:color w:val="auto"/>
          <w:highlight w:val="none"/>
        </w:rPr>
        <w:t>第七章  合同（样本）</w:t>
      </w:r>
      <w:bookmarkEnd w:id="77"/>
    </w:p>
    <w:p>
      <w:pPr>
        <w:tabs>
          <w:tab w:val="left" w:pos="7665"/>
        </w:tabs>
        <w:spacing w:line="578" w:lineRule="exact"/>
        <w:jc w:val="center"/>
        <w:rPr>
          <w:rFonts w:ascii="仿宋_GB2312" w:hAnsi="仿宋_GB2312" w:eastAsia="仿宋_GB2312" w:cs="仿宋_GB2312"/>
          <w:b/>
          <w:color w:val="auto"/>
          <w:highlight w:val="none"/>
        </w:rPr>
      </w:pPr>
    </w:p>
    <w:p>
      <w:pPr>
        <w:pStyle w:val="17"/>
        <w:spacing w:line="578" w:lineRule="exact"/>
        <w:ind w:firstLine="640"/>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 xml:space="preserve">合同编号：XXX                                         </w:t>
      </w:r>
    </w:p>
    <w:p>
      <w:pPr>
        <w:pStyle w:val="17"/>
        <w:spacing w:line="578" w:lineRule="exact"/>
        <w:ind w:firstLine="640"/>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 xml:space="preserve">签订地点：XXX                                         </w:t>
      </w:r>
    </w:p>
    <w:p>
      <w:pPr>
        <w:pStyle w:val="17"/>
        <w:spacing w:line="578" w:lineRule="exact"/>
        <w:ind w:firstLine="640"/>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 xml:space="preserve">签订时间：XXX年XXX月XXX日                                         </w:t>
      </w:r>
    </w:p>
    <w:p>
      <w:pPr>
        <w:pStyle w:val="17"/>
        <w:spacing w:line="578" w:lineRule="exact"/>
        <w:ind w:firstLine="640"/>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 xml:space="preserve">采购人（甲方）：XXX                                          </w:t>
      </w:r>
    </w:p>
    <w:p>
      <w:pPr>
        <w:pStyle w:val="17"/>
        <w:spacing w:line="578" w:lineRule="exact"/>
        <w:ind w:firstLine="640"/>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 xml:space="preserve">供应商（乙方）：XXX                                          </w:t>
      </w:r>
    </w:p>
    <w:p>
      <w:pPr>
        <w:pStyle w:val="17"/>
        <w:spacing w:line="578" w:lineRule="exact"/>
        <w:ind w:firstLine="640"/>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根据《中华人民共和国民法典》及xxxxxxxxx项目（项目编号：xxxxxxxxxxx）的《谈判文件》、乙方的《响应文件》及《成交通知书》，甲、乙双方同意签订本合同。详细技术说明及其他有关合同项目的特定信息由合同附件予以说明，合同附件及本项目的谈判文件、响应文件、《成交通知书》等均为本合同不可分割的部分。双方同意共同遵守如下条款：</w:t>
      </w:r>
    </w:p>
    <w:p>
      <w:pPr>
        <w:wordWrap w:val="0"/>
        <w:spacing w:line="578" w:lineRule="exact"/>
        <w:ind w:firstLine="642" w:firstLineChars="200"/>
        <w:rPr>
          <w:rFonts w:ascii="仿宋_GB2312" w:hAnsi="仿宋_GB2312" w:eastAsia="仿宋_GB2312" w:cs="仿宋_GB2312"/>
          <w:b/>
          <w:color w:val="auto"/>
          <w:highlight w:val="none"/>
        </w:rPr>
      </w:pPr>
      <w:r>
        <w:rPr>
          <w:rFonts w:hint="eastAsia" w:ascii="仿宋_GB2312" w:hAnsi="仿宋_GB2312" w:eastAsia="仿宋_GB2312" w:cs="仿宋_GB2312"/>
          <w:b/>
          <w:color w:val="auto"/>
          <w:highlight w:val="none"/>
        </w:rPr>
        <w:t>第一条    项目基本情况</w:t>
      </w:r>
    </w:p>
    <w:p>
      <w:pPr>
        <w:wordWrap w:val="0"/>
        <w:spacing w:line="578" w:lineRule="exact"/>
        <w:ind w:firstLine="642" w:firstLineChars="200"/>
        <w:rPr>
          <w:rFonts w:ascii="仿宋_GB2312" w:hAnsi="仿宋_GB2312" w:eastAsia="仿宋_GB2312" w:cs="仿宋_GB2312"/>
          <w:b/>
          <w:color w:val="auto"/>
          <w:highlight w:val="none"/>
        </w:rPr>
      </w:pPr>
      <w:r>
        <w:rPr>
          <w:rFonts w:hint="eastAsia" w:ascii="仿宋_GB2312" w:hAnsi="仿宋_GB2312" w:eastAsia="仿宋_GB2312" w:cs="仿宋_GB2312"/>
          <w:b/>
          <w:color w:val="auto"/>
          <w:highlight w:val="none"/>
        </w:rPr>
        <w:t>第二条     合同期限：以合同约定为准</w:t>
      </w:r>
      <w:r>
        <w:rPr>
          <w:rFonts w:hint="eastAsia" w:ascii="仿宋_GB2312" w:hAnsi="仿宋_GB2312" w:eastAsia="仿宋_GB2312" w:cs="仿宋_GB2312"/>
          <w:color w:val="auto"/>
          <w:highlight w:val="none"/>
        </w:rPr>
        <w:t>。</w:t>
      </w:r>
    </w:p>
    <w:p>
      <w:pPr>
        <w:wordWrap w:val="0"/>
        <w:spacing w:line="578" w:lineRule="exact"/>
        <w:ind w:firstLine="642" w:firstLineChars="200"/>
        <w:rPr>
          <w:rFonts w:ascii="仿宋_GB2312" w:hAnsi="仿宋_GB2312" w:eastAsia="仿宋_GB2312" w:cs="仿宋_GB2312"/>
          <w:b/>
          <w:color w:val="auto"/>
          <w:highlight w:val="none"/>
        </w:rPr>
      </w:pPr>
      <w:r>
        <w:rPr>
          <w:rFonts w:hint="eastAsia" w:ascii="仿宋_GB2312" w:hAnsi="仿宋_GB2312" w:eastAsia="仿宋_GB2312" w:cs="仿宋_GB2312"/>
          <w:b/>
          <w:color w:val="auto"/>
          <w:highlight w:val="none"/>
        </w:rPr>
        <w:t>第三条    服务内容与质量标准</w:t>
      </w:r>
    </w:p>
    <w:p>
      <w:pPr>
        <w:wordWrap w:val="0"/>
        <w:spacing w:line="578" w:lineRule="exact"/>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1、XXX:</w:t>
      </w:r>
    </w:p>
    <w:p>
      <w:pPr>
        <w:wordWrap w:val="0"/>
        <w:spacing w:line="578" w:lineRule="exact"/>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2、XXX;</w:t>
      </w:r>
    </w:p>
    <w:p>
      <w:pPr>
        <w:wordWrap w:val="0"/>
        <w:spacing w:line="578" w:lineRule="exact"/>
        <w:ind w:firstLine="642" w:firstLineChars="200"/>
        <w:rPr>
          <w:rFonts w:ascii="仿宋_GB2312" w:hAnsi="仿宋_GB2312" w:eastAsia="仿宋_GB2312" w:cs="仿宋_GB2312"/>
          <w:b/>
          <w:color w:val="auto"/>
          <w:highlight w:val="none"/>
        </w:rPr>
      </w:pPr>
      <w:r>
        <w:rPr>
          <w:rFonts w:hint="eastAsia" w:ascii="仿宋_GB2312" w:hAnsi="仿宋_GB2312" w:eastAsia="仿宋_GB2312" w:cs="仿宋_GB2312"/>
          <w:b/>
          <w:color w:val="auto"/>
          <w:highlight w:val="none"/>
        </w:rPr>
        <w:t>第四条    服务费用及支付方式 </w:t>
      </w:r>
    </w:p>
    <w:p>
      <w:pPr>
        <w:wordWrap w:val="0"/>
        <w:spacing w:line="578" w:lineRule="exact"/>
        <w:ind w:firstLine="642" w:firstLineChars="200"/>
        <w:rPr>
          <w:rFonts w:ascii="仿宋_GB2312" w:hAnsi="仿宋_GB2312" w:eastAsia="仿宋_GB2312" w:cs="仿宋_GB2312"/>
          <w:b/>
          <w:color w:val="auto"/>
          <w:highlight w:val="none"/>
        </w:rPr>
      </w:pPr>
      <w:r>
        <w:rPr>
          <w:rFonts w:hint="eastAsia" w:ascii="仿宋_GB2312" w:hAnsi="仿宋_GB2312" w:eastAsia="仿宋_GB2312" w:cs="仿宋_GB2312"/>
          <w:b/>
          <w:color w:val="auto"/>
          <w:highlight w:val="none"/>
        </w:rPr>
        <w:t>(一)本项目服务费用由以下组成:</w:t>
      </w:r>
    </w:p>
    <w:p>
      <w:pPr>
        <w:wordWrap w:val="0"/>
        <w:spacing w:line="578" w:lineRule="exact"/>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1、XX万元:</w:t>
      </w:r>
    </w:p>
    <w:p>
      <w:pPr>
        <w:wordWrap w:val="0"/>
        <w:spacing w:line="578" w:lineRule="exact"/>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2、XX万元:</w:t>
      </w:r>
    </w:p>
    <w:p>
      <w:pPr>
        <w:spacing w:line="578" w:lineRule="exact"/>
        <w:ind w:firstLine="642" w:firstLineChars="200"/>
        <w:rPr>
          <w:rFonts w:ascii="仿宋_GB2312" w:hAnsi="仿宋_GB2312" w:eastAsia="仿宋_GB2312" w:cs="仿宋_GB2312"/>
          <w:color w:val="auto"/>
          <w:highlight w:val="none"/>
        </w:rPr>
      </w:pPr>
      <w:r>
        <w:rPr>
          <w:rFonts w:hint="eastAsia" w:ascii="仿宋_GB2312" w:hAnsi="仿宋_GB2312" w:eastAsia="仿宋_GB2312" w:cs="仿宋_GB2312"/>
          <w:b/>
          <w:color w:val="auto"/>
          <w:highlight w:val="none"/>
        </w:rPr>
        <w:t>（二)服务费支付方式:</w:t>
      </w:r>
      <w:r>
        <w:rPr>
          <w:rFonts w:hint="eastAsia" w:ascii="仿宋_GB2312" w:hAnsi="仿宋_GB2312" w:eastAsia="仿宋_GB2312" w:cs="仿宋_GB2312"/>
          <w:color w:val="auto"/>
          <w:highlight w:val="none"/>
        </w:rPr>
        <w:t xml:space="preserve"> </w:t>
      </w:r>
    </w:p>
    <w:p>
      <w:pPr>
        <w:wordWrap w:val="0"/>
        <w:spacing w:line="578" w:lineRule="exact"/>
        <w:ind w:firstLine="627" w:firstLineChars="196"/>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（1）xxxxxxxxxxxxxxxxxxxxxxxxxx。</w:t>
      </w:r>
    </w:p>
    <w:p>
      <w:pPr>
        <w:wordWrap w:val="0"/>
        <w:spacing w:line="578" w:lineRule="exact"/>
        <w:ind w:firstLine="629" w:firstLineChars="196"/>
        <w:rPr>
          <w:rFonts w:ascii="仿宋_GB2312" w:hAnsi="仿宋_GB2312" w:eastAsia="仿宋_GB2312" w:cs="仿宋_GB2312"/>
          <w:b/>
          <w:color w:val="auto"/>
          <w:highlight w:val="none"/>
        </w:rPr>
      </w:pPr>
      <w:r>
        <w:rPr>
          <w:rFonts w:hint="eastAsia" w:ascii="仿宋_GB2312" w:hAnsi="仿宋_GB2312" w:eastAsia="仿宋_GB2312" w:cs="仿宋_GB2312"/>
          <w:b/>
          <w:color w:val="auto"/>
          <w:highlight w:val="none"/>
        </w:rPr>
        <w:t>第五条  知识产权</w:t>
      </w:r>
    </w:p>
    <w:p>
      <w:pPr>
        <w:wordWrap w:val="0"/>
        <w:spacing w:line="578" w:lineRule="exact"/>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乙方应保证所提供的服务或其任何一部分均不会侵犯任何第三方的专利权、商标权或著作权。</w:t>
      </w:r>
    </w:p>
    <w:p>
      <w:pPr>
        <w:wordWrap w:val="0"/>
        <w:spacing w:line="578" w:lineRule="exact"/>
        <w:ind w:firstLine="629" w:firstLineChars="196"/>
        <w:rPr>
          <w:rFonts w:ascii="仿宋_GB2312" w:hAnsi="仿宋_GB2312" w:eastAsia="仿宋_GB2312" w:cs="仿宋_GB2312"/>
          <w:b/>
          <w:color w:val="auto"/>
          <w:highlight w:val="none"/>
        </w:rPr>
      </w:pPr>
      <w:r>
        <w:rPr>
          <w:rFonts w:hint="eastAsia" w:ascii="仿宋_GB2312" w:hAnsi="仿宋_GB2312" w:eastAsia="仿宋_GB2312" w:cs="仿宋_GB2312"/>
          <w:b/>
          <w:color w:val="auto"/>
          <w:highlight w:val="none"/>
        </w:rPr>
        <w:t>第六条  无产权瑕疵条款</w:t>
      </w:r>
    </w:p>
    <w:p>
      <w:pPr>
        <w:wordWrap w:val="0"/>
        <w:spacing w:line="578" w:lineRule="exact"/>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乙方保证所提供的服务的所有权完全属于乙方且无任何抵押、查封等产权瑕疵。如有产权瑕疵的，视为乙方违约。乙方应负担由此而产生的一切损失。</w:t>
      </w:r>
    </w:p>
    <w:p>
      <w:pPr>
        <w:wordWrap w:val="0"/>
        <w:spacing w:line="578" w:lineRule="exact"/>
        <w:ind w:firstLine="629" w:firstLineChars="196"/>
        <w:rPr>
          <w:rFonts w:ascii="仿宋_GB2312" w:hAnsi="仿宋_GB2312" w:eastAsia="仿宋_GB2312" w:cs="仿宋_GB2312"/>
          <w:b/>
          <w:color w:val="auto"/>
          <w:highlight w:val="none"/>
        </w:rPr>
      </w:pPr>
      <w:r>
        <w:rPr>
          <w:rFonts w:hint="eastAsia" w:ascii="仿宋_GB2312" w:hAnsi="仿宋_GB2312" w:eastAsia="仿宋_GB2312" w:cs="仿宋_GB2312"/>
          <w:b/>
          <w:color w:val="auto"/>
          <w:highlight w:val="none"/>
        </w:rPr>
        <w:t>第七条  甲方的权利和义务</w:t>
      </w:r>
    </w:p>
    <w:p>
      <w:pPr>
        <w:wordWrap w:val="0"/>
        <w:spacing w:line="578" w:lineRule="exact"/>
        <w:ind w:left="320" w:leftChars="100" w:firstLine="160" w:firstLineChars="5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1、甲方有权对合同规定范围内乙方的服务行为进行监督和检查,拥有监管权。有权定期核对乙方提供服务所配备的人员数量。对甲方认为不合理的部分有权下达整改通知书，并要求乙方限期整改。</w:t>
      </w:r>
    </w:p>
    <w:p>
      <w:pPr>
        <w:wordWrap w:val="0"/>
        <w:spacing w:line="578" w:lineRule="exact"/>
        <w:ind w:left="320" w:leftChars="100" w:firstLine="160" w:firstLineChars="5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2、甲方有权依据双方签订的考评办法对乙方提供的服务进行定期考评。当考评结果未达到标准时，有权依据考评办法约定的数额扣除履约保证金。</w:t>
      </w:r>
    </w:p>
    <w:p>
      <w:pPr>
        <w:wordWrap w:val="0"/>
        <w:spacing w:line="578" w:lineRule="exact"/>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3、负责检查监督乙方管理工作的实施及制度的执行情况。</w:t>
      </w:r>
    </w:p>
    <w:p>
      <w:pPr>
        <w:wordWrap w:val="0"/>
        <w:spacing w:line="578" w:lineRule="exact"/>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4、根据本合同规定，按时向乙方支付应付服务费用。</w:t>
      </w:r>
    </w:p>
    <w:p>
      <w:pPr>
        <w:wordWrap w:val="0"/>
        <w:spacing w:line="578" w:lineRule="exact"/>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5、国家法律、法规所规定由甲方承担的其它责任。</w:t>
      </w:r>
    </w:p>
    <w:p>
      <w:pPr>
        <w:wordWrap w:val="0"/>
        <w:spacing w:line="578" w:lineRule="exact"/>
        <w:ind w:firstLine="629" w:firstLineChars="196"/>
        <w:rPr>
          <w:rFonts w:ascii="仿宋_GB2312" w:hAnsi="仿宋_GB2312" w:eastAsia="仿宋_GB2312" w:cs="仿宋_GB2312"/>
          <w:b/>
          <w:color w:val="auto"/>
          <w:highlight w:val="none"/>
        </w:rPr>
      </w:pPr>
      <w:r>
        <w:rPr>
          <w:rFonts w:hint="eastAsia" w:ascii="仿宋_GB2312" w:hAnsi="仿宋_GB2312" w:eastAsia="仿宋_GB2312" w:cs="仿宋_GB2312"/>
          <w:b/>
          <w:color w:val="auto"/>
          <w:highlight w:val="none"/>
        </w:rPr>
        <w:t>第八条  乙方的权利和义务</w:t>
      </w:r>
    </w:p>
    <w:p>
      <w:pPr>
        <w:wordWrap w:val="0"/>
        <w:spacing w:line="578" w:lineRule="exact"/>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1、对本合同规定的委托服务范围内的项目享有管理权及服务义务。</w:t>
      </w:r>
    </w:p>
    <w:p>
      <w:pPr>
        <w:wordWrap w:val="0"/>
        <w:spacing w:line="578" w:lineRule="exact"/>
        <w:ind w:left="320" w:leftChars="100" w:firstLine="320" w:firstLineChars="1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2、根据本合同的规定向甲方收取相关服务费用，并有权在本项目管理范围内管理及合理使用。</w:t>
      </w:r>
    </w:p>
    <w:p>
      <w:pPr>
        <w:wordWrap w:val="0"/>
        <w:spacing w:line="578" w:lineRule="exact"/>
        <w:ind w:left="320" w:leftChars="100" w:firstLine="320" w:firstLineChars="1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3、及时向甲方通告本项目服务范围内有关服务的重大事项，及时配合处理投诉。</w:t>
      </w:r>
    </w:p>
    <w:p>
      <w:pPr>
        <w:wordWrap w:val="0"/>
        <w:spacing w:line="578" w:lineRule="exact"/>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4、接受项目行业管理部门及政府有关部门的指导，接受甲方的监督。</w:t>
      </w:r>
    </w:p>
    <w:p>
      <w:pPr>
        <w:wordWrap w:val="0"/>
        <w:spacing w:line="578" w:lineRule="exact"/>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5、国家法律、法规所规定由乙方承担的其它责任。</w:t>
      </w:r>
    </w:p>
    <w:p>
      <w:pPr>
        <w:wordWrap w:val="0"/>
        <w:spacing w:line="578" w:lineRule="exact"/>
        <w:ind w:left="320" w:leftChars="100" w:firstLine="642" w:firstLineChars="200"/>
        <w:rPr>
          <w:rFonts w:ascii="仿宋_GB2312" w:hAnsi="仿宋_GB2312" w:eastAsia="仿宋_GB2312" w:cs="仿宋_GB2312"/>
          <w:b/>
          <w:color w:val="auto"/>
          <w:highlight w:val="none"/>
        </w:rPr>
      </w:pPr>
      <w:r>
        <w:rPr>
          <w:rFonts w:hint="eastAsia" w:ascii="仿宋_GB2312" w:hAnsi="仿宋_GB2312" w:eastAsia="仿宋_GB2312" w:cs="仿宋_GB2312"/>
          <w:b/>
          <w:color w:val="auto"/>
          <w:highlight w:val="none"/>
        </w:rPr>
        <w:t>第九条  违约责任</w:t>
      </w:r>
    </w:p>
    <w:p>
      <w:pPr>
        <w:wordWrap w:val="0"/>
        <w:spacing w:line="578" w:lineRule="exact"/>
        <w:ind w:left="320" w:leftChars="100"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1、甲乙双方必须遵守本合同并执行本合同中的各项规定，保证本合同的正常履行。</w:t>
      </w:r>
    </w:p>
    <w:p>
      <w:pPr>
        <w:wordWrap w:val="0"/>
        <w:spacing w:line="578" w:lineRule="exact"/>
        <w:ind w:left="320" w:leftChars="100"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2、如因乙方工作人员在履行职务过程中的疏忽、失职、过错等故意或者过失原因给甲方造成损失或侵害，包括但不限于甲方本身的财产损失、由此而导致的甲方对任何第三方的法律责任等，乙方对此应承担甲方全部损失的基础上，按照合同金额20%承担违约金。</w:t>
      </w:r>
    </w:p>
    <w:p>
      <w:pPr>
        <w:wordWrap w:val="0"/>
        <w:spacing w:line="578" w:lineRule="exact"/>
        <w:ind w:left="320" w:leftChars="100" w:firstLine="642" w:firstLineChars="200"/>
        <w:rPr>
          <w:rFonts w:ascii="仿宋_GB2312" w:hAnsi="仿宋_GB2312" w:eastAsia="仿宋_GB2312" w:cs="仿宋_GB2312"/>
          <w:b/>
          <w:color w:val="auto"/>
          <w:highlight w:val="none"/>
        </w:rPr>
      </w:pPr>
      <w:r>
        <w:rPr>
          <w:rFonts w:hint="eastAsia" w:ascii="仿宋_GB2312" w:hAnsi="仿宋_GB2312" w:eastAsia="仿宋_GB2312" w:cs="仿宋_GB2312"/>
          <w:b/>
          <w:color w:val="auto"/>
          <w:highlight w:val="none"/>
        </w:rPr>
        <w:t>第十条    不可抗力事件处理</w:t>
      </w:r>
    </w:p>
    <w:p>
      <w:pPr>
        <w:wordWrap w:val="0"/>
        <w:spacing w:line="578" w:lineRule="exact"/>
        <w:ind w:left="320" w:leftChars="100"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1、在合同有效期内，任何一方因不可抗力事件导致不能履行合同,则合同履行期可延长，其延长期与不可抗力影响期相同。</w:t>
      </w:r>
    </w:p>
    <w:p>
      <w:pPr>
        <w:wordWrap w:val="0"/>
        <w:spacing w:line="578" w:lineRule="exact"/>
        <w:ind w:left="320" w:leftChars="100"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2、不可抗力事件发生后，应立即通知对方，并寄送有关权威机构出具的证明。</w:t>
      </w:r>
    </w:p>
    <w:p>
      <w:pPr>
        <w:wordWrap w:val="0"/>
        <w:spacing w:line="578" w:lineRule="exact"/>
        <w:ind w:left="320" w:leftChars="100"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3、不可抗力事件延续XX天以上，双方应通过友好协商，确定是否继续履行合同。</w:t>
      </w:r>
    </w:p>
    <w:p>
      <w:pPr>
        <w:wordWrap w:val="0"/>
        <w:spacing w:line="578" w:lineRule="exact"/>
        <w:ind w:left="320" w:leftChars="100" w:firstLine="642" w:firstLineChars="200"/>
        <w:rPr>
          <w:rFonts w:ascii="仿宋_GB2312" w:hAnsi="仿宋_GB2312" w:eastAsia="仿宋_GB2312" w:cs="仿宋_GB2312"/>
          <w:b/>
          <w:color w:val="auto"/>
          <w:highlight w:val="none"/>
        </w:rPr>
      </w:pPr>
      <w:r>
        <w:rPr>
          <w:rFonts w:hint="eastAsia" w:ascii="仿宋_GB2312" w:hAnsi="仿宋_GB2312" w:eastAsia="仿宋_GB2312" w:cs="仿宋_GB2312"/>
          <w:b/>
          <w:color w:val="auto"/>
          <w:highlight w:val="none"/>
        </w:rPr>
        <w:t>第十一条    解决合同纠纷的方式</w:t>
      </w:r>
    </w:p>
    <w:p>
      <w:pPr>
        <w:wordWrap w:val="0"/>
        <w:spacing w:line="578" w:lineRule="exact"/>
        <w:ind w:left="320" w:leftChars="100"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1、在执行本合同中发生的或与本合同有关的争端,双方应通过友好协商解决，经协商在XX天内不能达成协议时，应提交当地仲裁委员会仲裁。</w:t>
      </w:r>
    </w:p>
    <w:p>
      <w:pPr>
        <w:wordWrap w:val="0"/>
        <w:spacing w:line="578" w:lineRule="exact"/>
        <w:ind w:left="320" w:leftChars="100"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2、仲裁裁决应为最终决定，并对双方具有约束力。</w:t>
      </w:r>
    </w:p>
    <w:p>
      <w:pPr>
        <w:wordWrap w:val="0"/>
        <w:spacing w:line="578" w:lineRule="exact"/>
        <w:ind w:left="320" w:leftChars="100"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3、除另有裁决外，仲裁费应由败诉方负担。</w:t>
      </w:r>
    </w:p>
    <w:p>
      <w:pPr>
        <w:wordWrap w:val="0"/>
        <w:spacing w:line="578" w:lineRule="exact"/>
        <w:ind w:left="320" w:leftChars="100"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4、在仲裁期间，除正在进行仲裁部分外，合同其他部分继续执行。</w:t>
      </w:r>
    </w:p>
    <w:p>
      <w:pPr>
        <w:wordWrap w:val="0"/>
        <w:spacing w:line="578" w:lineRule="exact"/>
        <w:ind w:left="320" w:leftChars="100" w:firstLine="642" w:firstLineChars="200"/>
        <w:rPr>
          <w:rFonts w:ascii="仿宋_GB2312" w:hAnsi="仿宋_GB2312" w:eastAsia="仿宋_GB2312" w:cs="仿宋_GB2312"/>
          <w:b/>
          <w:color w:val="auto"/>
          <w:highlight w:val="none"/>
        </w:rPr>
      </w:pPr>
      <w:r>
        <w:rPr>
          <w:rFonts w:hint="eastAsia" w:ascii="仿宋_GB2312" w:hAnsi="仿宋_GB2312" w:eastAsia="仿宋_GB2312" w:cs="仿宋_GB2312"/>
          <w:b/>
          <w:color w:val="auto"/>
          <w:highlight w:val="none"/>
        </w:rPr>
        <w:t>第十二条    合同生效及其他</w:t>
      </w:r>
    </w:p>
    <w:p>
      <w:pPr>
        <w:wordWrap w:val="0"/>
        <w:spacing w:line="578" w:lineRule="exact"/>
        <w:ind w:left="320" w:leftChars="100"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1、合同经双方法定代表人或授权委托代理人签字并加盖单位公章后生效。</w:t>
      </w:r>
    </w:p>
    <w:p>
      <w:pPr>
        <w:wordWrap w:val="0"/>
        <w:spacing w:line="578" w:lineRule="exact"/>
        <w:ind w:left="320" w:leftChars="100"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2、合同执行中涉及采购资金和采购内容修改或补充的，须经政府采购监管部门审批，并签书面补充协议报政府采购监督管理部门备案，方可作为主合同不可分割的一部分。</w:t>
      </w:r>
    </w:p>
    <w:p>
      <w:pPr>
        <w:wordWrap w:val="0"/>
        <w:spacing w:line="578" w:lineRule="exact"/>
        <w:ind w:left="320" w:leftChars="100"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3、本合同一式XX份，自双方签章之日起生效。甲方XX份，乙方XX份，具有同等法律效力。</w:t>
      </w:r>
    </w:p>
    <w:p>
      <w:pPr>
        <w:wordWrap w:val="0"/>
        <w:spacing w:line="578" w:lineRule="exact"/>
        <w:ind w:left="320" w:leftChars="100" w:firstLine="640" w:firstLineChars="200"/>
        <w:rPr>
          <w:rFonts w:hint="eastAsia" w:ascii="仿宋_GB2312" w:hAnsi="仿宋_GB2312" w:eastAsia="仿宋_GB2312" w:cs="仿宋_GB2312"/>
          <w:color w:val="auto"/>
          <w:highlight w:val="none"/>
          <w:lang w:eastAsia="zh-CN"/>
        </w:rPr>
      </w:pPr>
      <w:r>
        <w:rPr>
          <w:rFonts w:hint="eastAsia" w:ascii="仿宋_GB2312" w:hAnsi="仿宋_GB2312" w:eastAsia="仿宋_GB2312" w:cs="仿宋_GB2312"/>
          <w:color w:val="auto"/>
          <w:highlight w:val="none"/>
          <w:lang w:eastAsia="zh-CN"/>
        </w:rPr>
        <w:t>（以下无正文）</w:t>
      </w:r>
    </w:p>
    <w:p>
      <w:pPr>
        <w:wordWrap w:val="0"/>
        <w:spacing w:line="578" w:lineRule="exact"/>
        <w:ind w:left="320" w:leftChars="100" w:firstLine="640" w:firstLineChars="200"/>
        <w:rPr>
          <w:rFonts w:hint="eastAsia" w:ascii="仿宋_GB2312" w:hAnsi="仿宋_GB2312" w:eastAsia="仿宋_GB2312" w:cs="仿宋_GB2312"/>
          <w:color w:val="auto"/>
          <w:highlight w:val="none"/>
          <w:lang w:eastAsia="zh-CN"/>
        </w:rPr>
      </w:pPr>
    </w:p>
    <w:p>
      <w:pPr>
        <w:wordWrap w:val="0"/>
        <w:spacing w:line="578" w:lineRule="exact"/>
        <w:ind w:left="320" w:leftChars="100" w:firstLine="640" w:firstLineChars="200"/>
        <w:rPr>
          <w:rFonts w:hint="eastAsia" w:ascii="仿宋_GB2312" w:hAnsi="仿宋_GB2312" w:eastAsia="仿宋_GB2312" w:cs="仿宋_GB2312"/>
          <w:color w:val="auto"/>
          <w:highlight w:val="none"/>
          <w:lang w:eastAsia="zh-CN"/>
        </w:rPr>
      </w:pPr>
    </w:p>
    <w:p>
      <w:pPr>
        <w:wordWrap w:val="0"/>
        <w:spacing w:line="578" w:lineRule="exact"/>
        <w:ind w:left="320" w:leftChars="100" w:firstLine="640" w:firstLineChars="200"/>
        <w:rPr>
          <w:rFonts w:hint="eastAsia" w:ascii="仿宋_GB2312" w:hAnsi="仿宋_GB2312" w:eastAsia="仿宋_GB2312" w:cs="仿宋_GB2312"/>
          <w:color w:val="auto"/>
          <w:highlight w:val="none"/>
          <w:lang w:eastAsia="zh-CN"/>
        </w:rPr>
      </w:pPr>
    </w:p>
    <w:p>
      <w:pPr>
        <w:wordWrap w:val="0"/>
        <w:spacing w:line="578" w:lineRule="exact"/>
        <w:ind w:left="320" w:leftChars="100" w:firstLine="640" w:firstLineChars="200"/>
        <w:rPr>
          <w:rFonts w:hint="eastAsia" w:ascii="仿宋_GB2312" w:hAnsi="仿宋_GB2312" w:eastAsia="仿宋_GB2312" w:cs="仿宋_GB2312"/>
          <w:color w:val="auto"/>
          <w:highlight w:val="none"/>
          <w:lang w:eastAsia="zh-CN"/>
        </w:rPr>
      </w:pPr>
    </w:p>
    <w:p>
      <w:pPr>
        <w:wordWrap w:val="0"/>
        <w:spacing w:line="578" w:lineRule="exact"/>
        <w:ind w:left="320" w:leftChars="100" w:firstLine="640" w:firstLineChars="200"/>
        <w:rPr>
          <w:rFonts w:hint="eastAsia" w:ascii="仿宋_GB2312" w:hAnsi="仿宋_GB2312" w:eastAsia="仿宋_GB2312" w:cs="仿宋_GB2312"/>
          <w:color w:val="auto"/>
          <w:highlight w:val="none"/>
          <w:lang w:eastAsia="zh-CN"/>
        </w:rPr>
      </w:pPr>
    </w:p>
    <w:p>
      <w:pPr>
        <w:wordWrap w:val="0"/>
        <w:spacing w:line="578" w:lineRule="exact"/>
        <w:ind w:left="320" w:leftChars="100" w:firstLine="640" w:firstLineChars="200"/>
        <w:rPr>
          <w:rFonts w:hint="eastAsia" w:ascii="仿宋_GB2312" w:hAnsi="仿宋_GB2312" w:eastAsia="仿宋_GB2312" w:cs="仿宋_GB2312"/>
          <w:color w:val="auto"/>
          <w:highlight w:val="none"/>
          <w:lang w:eastAsia="zh-CN"/>
        </w:rPr>
      </w:pPr>
    </w:p>
    <w:p>
      <w:pPr>
        <w:wordWrap w:val="0"/>
        <w:spacing w:line="578" w:lineRule="exact"/>
        <w:ind w:left="320" w:leftChars="100" w:firstLine="640" w:firstLineChars="200"/>
        <w:rPr>
          <w:rFonts w:hint="eastAsia" w:ascii="仿宋_GB2312" w:hAnsi="仿宋_GB2312" w:eastAsia="仿宋_GB2312" w:cs="仿宋_GB2312"/>
          <w:color w:val="auto"/>
          <w:highlight w:val="none"/>
          <w:lang w:eastAsia="zh-CN"/>
        </w:rPr>
      </w:pPr>
    </w:p>
    <w:p>
      <w:pPr>
        <w:wordWrap w:val="0"/>
        <w:spacing w:line="578" w:lineRule="exact"/>
        <w:ind w:left="320" w:leftChars="100" w:firstLine="640" w:firstLineChars="200"/>
        <w:rPr>
          <w:rFonts w:hint="eastAsia" w:ascii="仿宋_GB2312" w:hAnsi="仿宋_GB2312" w:eastAsia="仿宋_GB2312" w:cs="仿宋_GB2312"/>
          <w:color w:val="auto"/>
          <w:highlight w:val="none"/>
          <w:lang w:eastAsia="zh-CN"/>
        </w:rPr>
      </w:pPr>
    </w:p>
    <w:p>
      <w:pPr>
        <w:wordWrap w:val="0"/>
        <w:spacing w:line="578" w:lineRule="exact"/>
        <w:ind w:left="320" w:leftChars="100" w:firstLine="640" w:firstLineChars="200"/>
        <w:rPr>
          <w:rFonts w:hint="eastAsia" w:ascii="仿宋_GB2312" w:hAnsi="仿宋_GB2312" w:eastAsia="仿宋_GB2312" w:cs="仿宋_GB2312"/>
          <w:color w:val="auto"/>
          <w:highlight w:val="none"/>
          <w:lang w:eastAsia="zh-CN"/>
        </w:rPr>
      </w:pPr>
    </w:p>
    <w:p>
      <w:pPr>
        <w:spacing w:line="578" w:lineRule="exact"/>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 xml:space="preserve">甲方：   （盖单位公章） </w:t>
      </w:r>
      <w:r>
        <w:rPr>
          <w:rFonts w:hint="eastAsia" w:ascii="仿宋_GB2312" w:hAnsi="仿宋_GB2312" w:eastAsia="仿宋_GB2312" w:cs="仿宋_GB2312"/>
          <w:color w:val="auto"/>
          <w:highlight w:val="none"/>
          <w:lang w:val="en-US" w:eastAsia="zh-CN"/>
        </w:rPr>
        <w:t xml:space="preserve"> </w:t>
      </w:r>
      <w:r>
        <w:rPr>
          <w:rFonts w:hint="eastAsia" w:ascii="仿宋_GB2312" w:hAnsi="仿宋_GB2312" w:eastAsia="仿宋_GB2312" w:cs="仿宋_GB2312"/>
          <w:color w:val="auto"/>
          <w:highlight w:val="none"/>
        </w:rPr>
        <w:t xml:space="preserve">  </w:t>
      </w:r>
      <w:r>
        <w:rPr>
          <w:rFonts w:hint="eastAsia" w:ascii="仿宋_GB2312" w:hAnsi="仿宋_GB2312" w:eastAsia="仿宋_GB2312" w:cs="仿宋_GB2312"/>
          <w:color w:val="auto"/>
          <w:highlight w:val="none"/>
        </w:rPr>
        <w:tab/>
      </w:r>
      <w:r>
        <w:rPr>
          <w:rFonts w:hint="eastAsia" w:ascii="仿宋_GB2312" w:hAnsi="仿宋_GB2312" w:eastAsia="仿宋_GB2312" w:cs="仿宋_GB2312"/>
          <w:color w:val="auto"/>
          <w:highlight w:val="none"/>
        </w:rPr>
        <w:t>乙方：   （盖单位公章）</w:t>
      </w:r>
    </w:p>
    <w:p>
      <w:pPr>
        <w:spacing w:line="578" w:lineRule="exact"/>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法定代表人（授权代表）：    法定代表人（授权代表）：</w:t>
      </w:r>
    </w:p>
    <w:p>
      <w:pPr>
        <w:spacing w:line="578" w:lineRule="exact"/>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地    址：                         地    址：</w:t>
      </w:r>
    </w:p>
    <w:p>
      <w:pPr>
        <w:spacing w:line="578" w:lineRule="exact"/>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开户银行：                         开户银行：</w:t>
      </w:r>
    </w:p>
    <w:p>
      <w:pPr>
        <w:spacing w:line="578" w:lineRule="exact"/>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账号：                             账号：</w:t>
      </w:r>
    </w:p>
    <w:p>
      <w:pPr>
        <w:spacing w:line="578" w:lineRule="exact"/>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电    话：                         电    话：</w:t>
      </w:r>
    </w:p>
    <w:p>
      <w:pPr>
        <w:spacing w:line="578" w:lineRule="exact"/>
        <w:ind w:firstLine="640" w:firstLineChars="200"/>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 xml:space="preserve">签约日期：XX年XX月XX日 </w:t>
      </w:r>
      <w:r>
        <w:rPr>
          <w:rFonts w:hint="eastAsia" w:ascii="仿宋_GB2312" w:hAnsi="仿宋_GB2312" w:eastAsia="仿宋_GB2312" w:cs="仿宋_GB2312"/>
          <w:color w:val="auto"/>
          <w:highlight w:val="none"/>
        </w:rPr>
        <w:tab/>
      </w:r>
      <w:r>
        <w:rPr>
          <w:rFonts w:hint="eastAsia" w:ascii="仿宋_GB2312" w:hAnsi="仿宋_GB2312" w:eastAsia="仿宋_GB2312" w:cs="仿宋_GB2312"/>
          <w:color w:val="auto"/>
          <w:highlight w:val="none"/>
        </w:rPr>
        <w:tab/>
      </w:r>
      <w:r>
        <w:rPr>
          <w:rFonts w:hint="eastAsia" w:ascii="仿宋_GB2312" w:hAnsi="仿宋_GB2312" w:eastAsia="仿宋_GB2312" w:cs="仿宋_GB2312"/>
          <w:color w:val="auto"/>
          <w:highlight w:val="none"/>
        </w:rPr>
        <w:tab/>
      </w:r>
      <w:r>
        <w:rPr>
          <w:rFonts w:hint="eastAsia" w:ascii="仿宋_GB2312" w:hAnsi="仿宋_GB2312" w:eastAsia="仿宋_GB2312" w:cs="仿宋_GB2312"/>
          <w:color w:val="auto"/>
          <w:highlight w:val="none"/>
        </w:rPr>
        <w:t>签约日期：XX年XX月XX日</w:t>
      </w:r>
    </w:p>
    <w:p>
      <w:pPr>
        <w:pStyle w:val="4"/>
        <w:spacing w:line="578" w:lineRule="exact"/>
        <w:jc w:val="center"/>
        <w:outlineLvl w:val="0"/>
        <w:rPr>
          <w:rFonts w:ascii="仿宋_GB2312" w:hAnsi="仿宋_GB2312" w:eastAsia="仿宋_GB2312" w:cs="仿宋_GB2312"/>
          <w:b/>
          <w:color w:val="auto"/>
          <w:sz w:val="32"/>
          <w:szCs w:val="32"/>
          <w:highlight w:val="none"/>
        </w:rPr>
        <w:sectPr>
          <w:pgSz w:w="11906" w:h="16838"/>
          <w:pgMar w:top="1440" w:right="1800" w:bottom="1440" w:left="1800" w:header="851" w:footer="992" w:gutter="0"/>
          <w:pgNumType w:fmt="decimal"/>
          <w:cols w:space="720" w:num="1"/>
          <w:docGrid w:type="lines" w:linePitch="312" w:charSpace="0"/>
        </w:sectPr>
      </w:pPr>
    </w:p>
    <w:p>
      <w:pPr>
        <w:pStyle w:val="4"/>
        <w:spacing w:line="578" w:lineRule="exact"/>
        <w:jc w:val="center"/>
        <w:outlineLvl w:val="0"/>
        <w:rPr>
          <w:rFonts w:ascii="黑体" w:hAnsi="黑体" w:eastAsia="黑体" w:cs="黑体"/>
          <w:bCs/>
          <w:color w:val="auto"/>
          <w:sz w:val="32"/>
          <w:szCs w:val="32"/>
          <w:highlight w:val="none"/>
        </w:rPr>
      </w:pPr>
      <w:bookmarkStart w:id="78" w:name="_Toc23537"/>
      <w:r>
        <w:rPr>
          <w:rFonts w:hint="eastAsia" w:ascii="黑体" w:hAnsi="黑体" w:eastAsia="黑体" w:cs="黑体"/>
          <w:bCs/>
          <w:color w:val="auto"/>
          <w:sz w:val="32"/>
          <w:szCs w:val="32"/>
          <w:highlight w:val="none"/>
        </w:rPr>
        <w:t>第八章  附  件</w:t>
      </w:r>
      <w:bookmarkEnd w:id="78"/>
    </w:p>
    <w:p>
      <w:pPr>
        <w:spacing w:line="578" w:lineRule="exact"/>
        <w:jc w:val="center"/>
        <w:rPr>
          <w:rFonts w:ascii="仿宋_GB2312" w:hAnsi="仿宋_GB2312" w:eastAsia="仿宋_GB2312" w:cs="仿宋_GB2312"/>
          <w:b/>
          <w:color w:val="auto"/>
          <w:kern w:val="0"/>
          <w:highlight w:val="none"/>
        </w:rPr>
      </w:pPr>
      <w:r>
        <w:rPr>
          <w:rFonts w:hint="eastAsia" w:ascii="仿宋_GB2312" w:hAnsi="仿宋_GB2312" w:eastAsia="仿宋_GB2312" w:cs="仿宋_GB2312"/>
          <w:b/>
          <w:color w:val="auto"/>
          <w:kern w:val="0"/>
          <w:highlight w:val="none"/>
        </w:rPr>
        <w:t>介绍信</w:t>
      </w:r>
    </w:p>
    <w:p>
      <w:pPr>
        <w:spacing w:line="578" w:lineRule="exact"/>
        <w:jc w:val="left"/>
        <w:rPr>
          <w:rFonts w:ascii="仿宋_GB2312" w:hAnsi="仿宋_GB2312" w:eastAsia="仿宋_GB2312" w:cs="仿宋_GB2312"/>
          <w:b/>
          <w:color w:val="auto"/>
          <w:kern w:val="0"/>
          <w:highlight w:val="none"/>
        </w:rPr>
      </w:pPr>
    </w:p>
    <w:p>
      <w:pPr>
        <w:spacing w:line="578" w:lineRule="exact"/>
        <w:jc w:val="left"/>
        <w:rPr>
          <w:rFonts w:ascii="仿宋_GB2312" w:hAnsi="仿宋_GB2312" w:eastAsia="仿宋_GB2312" w:cs="仿宋_GB2312"/>
          <w:bCs/>
          <w:color w:val="auto"/>
          <w:kern w:val="0"/>
          <w:highlight w:val="none"/>
        </w:rPr>
      </w:pPr>
      <w:r>
        <w:rPr>
          <w:rFonts w:hint="eastAsia" w:ascii="仿宋_GB2312" w:hAnsi="仿宋_GB2312" w:eastAsia="仿宋_GB2312" w:cs="仿宋_GB2312"/>
          <w:bCs/>
          <w:color w:val="auto"/>
          <w:kern w:val="0"/>
          <w:highlight w:val="none"/>
        </w:rPr>
        <w:t>达州市投资有限公司：</w:t>
      </w:r>
    </w:p>
    <w:p>
      <w:pPr>
        <w:spacing w:line="578" w:lineRule="exact"/>
        <w:jc w:val="left"/>
        <w:rPr>
          <w:rFonts w:ascii="仿宋_GB2312" w:hAnsi="仿宋_GB2312" w:eastAsia="仿宋_GB2312" w:cs="仿宋_GB2312"/>
          <w:color w:val="auto"/>
          <w:kern w:val="0"/>
          <w:highlight w:val="none"/>
        </w:rPr>
      </w:pPr>
    </w:p>
    <w:p>
      <w:pPr>
        <w:spacing w:line="578" w:lineRule="exact"/>
        <w:ind w:firstLine="627" w:firstLineChars="196"/>
        <w:jc w:val="left"/>
        <w:rPr>
          <w:rFonts w:ascii="仿宋_GB2312" w:hAnsi="仿宋_GB2312" w:eastAsia="仿宋_GB2312" w:cs="仿宋_GB2312"/>
          <w:color w:val="auto"/>
          <w:kern w:val="0"/>
          <w:highlight w:val="none"/>
        </w:rPr>
      </w:pPr>
      <w:r>
        <w:rPr>
          <w:rFonts w:hint="eastAsia" w:ascii="仿宋_GB2312" w:hAnsi="仿宋_GB2312" w:eastAsia="仿宋_GB2312" w:cs="仿宋_GB2312"/>
          <w:color w:val="auto"/>
          <w:kern w:val="0"/>
          <w:highlight w:val="none"/>
        </w:rPr>
        <w:t>兹介绍我单位</w:t>
      </w:r>
      <w:r>
        <w:rPr>
          <w:rFonts w:hint="eastAsia" w:ascii="仿宋_GB2312" w:hAnsi="仿宋_GB2312" w:eastAsia="仿宋_GB2312" w:cs="仿宋_GB2312"/>
          <w:color w:val="auto"/>
          <w:kern w:val="0"/>
          <w:highlight w:val="none"/>
          <w:u w:val="single"/>
        </w:rPr>
        <w:t xml:space="preserve">     </w:t>
      </w:r>
      <w:r>
        <w:rPr>
          <w:rFonts w:hint="eastAsia" w:ascii="仿宋_GB2312" w:hAnsi="仿宋_GB2312" w:eastAsia="仿宋_GB2312" w:cs="仿宋_GB2312"/>
          <w:color w:val="auto"/>
          <w:kern w:val="0"/>
          <w:highlight w:val="none"/>
        </w:rPr>
        <w:t>同志（身份证号码：</w:t>
      </w:r>
      <w:r>
        <w:rPr>
          <w:rFonts w:hint="eastAsia" w:ascii="仿宋_GB2312" w:hAnsi="仿宋_GB2312" w:eastAsia="仿宋_GB2312" w:cs="仿宋_GB2312"/>
          <w:color w:val="auto"/>
          <w:kern w:val="0"/>
          <w:highlight w:val="none"/>
          <w:u w:val="single"/>
        </w:rPr>
        <w:t xml:space="preserve">           </w:t>
      </w:r>
      <w:r>
        <w:rPr>
          <w:rFonts w:hint="eastAsia" w:ascii="仿宋_GB2312" w:hAnsi="仿宋_GB2312" w:eastAsia="仿宋_GB2312" w:cs="仿宋_GB2312"/>
          <w:color w:val="auto"/>
          <w:kern w:val="0"/>
          <w:highlight w:val="none"/>
        </w:rPr>
        <w:t>联系电话：</w:t>
      </w:r>
      <w:r>
        <w:rPr>
          <w:rFonts w:hint="eastAsia" w:ascii="仿宋_GB2312" w:hAnsi="仿宋_GB2312" w:eastAsia="仿宋_GB2312" w:cs="仿宋_GB2312"/>
          <w:color w:val="auto"/>
          <w:kern w:val="0"/>
          <w:highlight w:val="none"/>
          <w:u w:val="single"/>
        </w:rPr>
        <w:t xml:space="preserve">     </w:t>
      </w:r>
      <w:r>
        <w:rPr>
          <w:rFonts w:hint="eastAsia" w:ascii="仿宋_GB2312" w:hAnsi="仿宋_GB2312" w:eastAsia="仿宋_GB2312" w:cs="仿宋_GB2312"/>
          <w:color w:val="auto"/>
          <w:kern w:val="0"/>
          <w:highlight w:val="none"/>
        </w:rPr>
        <w:t xml:space="preserve">）前来贵单位办理 </w:t>
      </w:r>
      <w:r>
        <w:rPr>
          <w:rFonts w:hint="eastAsia" w:ascii="仿宋_GB2312" w:hAnsi="仿宋_GB2312" w:eastAsia="仿宋_GB2312" w:cs="仿宋_GB2312"/>
          <w:color w:val="auto"/>
          <w:kern w:val="0"/>
          <w:highlight w:val="none"/>
          <w:u w:val="single"/>
        </w:rPr>
        <w:t xml:space="preserve">                                  </w:t>
      </w:r>
      <w:r>
        <w:rPr>
          <w:rFonts w:hint="eastAsia" w:ascii="仿宋_GB2312" w:hAnsi="仿宋_GB2312" w:eastAsia="仿宋_GB2312" w:cs="仿宋_GB2312"/>
          <w:color w:val="auto"/>
          <w:kern w:val="0"/>
          <w:highlight w:val="none"/>
        </w:rPr>
        <w:t>项目（项目编号：</w:t>
      </w:r>
      <w:r>
        <w:rPr>
          <w:rFonts w:hint="eastAsia" w:ascii="仿宋_GB2312" w:hAnsi="仿宋_GB2312" w:eastAsia="仿宋_GB2312" w:cs="仿宋_GB2312"/>
          <w:color w:val="auto"/>
          <w:kern w:val="0"/>
          <w:highlight w:val="none"/>
          <w:u w:val="single"/>
        </w:rPr>
        <w:t xml:space="preserve">            </w:t>
      </w:r>
      <w:r>
        <w:rPr>
          <w:rFonts w:hint="eastAsia" w:ascii="仿宋_GB2312" w:hAnsi="仿宋_GB2312" w:eastAsia="仿宋_GB2312" w:cs="仿宋_GB2312"/>
          <w:color w:val="auto"/>
          <w:kern w:val="0"/>
          <w:highlight w:val="none"/>
        </w:rPr>
        <w:t xml:space="preserve"> ）购买采购文件及报名事宜，望贵单位予以接洽。</w:t>
      </w:r>
    </w:p>
    <w:p>
      <w:pPr>
        <w:spacing w:line="578" w:lineRule="exact"/>
        <w:jc w:val="left"/>
        <w:rPr>
          <w:rFonts w:ascii="仿宋_GB2312" w:hAnsi="仿宋_GB2312" w:eastAsia="仿宋_GB2312" w:cs="仿宋_GB2312"/>
          <w:color w:val="auto"/>
          <w:kern w:val="0"/>
          <w:highlight w:val="none"/>
        </w:rPr>
      </w:pPr>
    </w:p>
    <w:p>
      <w:pPr>
        <w:spacing w:line="578" w:lineRule="exact"/>
        <w:jc w:val="left"/>
        <w:rPr>
          <w:rFonts w:ascii="仿宋_GB2312" w:hAnsi="仿宋_GB2312" w:eastAsia="仿宋_GB2312" w:cs="仿宋_GB2312"/>
          <w:color w:val="auto"/>
          <w:kern w:val="0"/>
          <w:highlight w:val="none"/>
        </w:rPr>
      </w:pPr>
      <w:r>
        <w:rPr>
          <w:rFonts w:hint="eastAsia" w:ascii="仿宋_GB2312" w:hAnsi="仿宋_GB2312" w:eastAsia="仿宋_GB2312" w:cs="仿宋_GB2312"/>
          <w:color w:val="auto"/>
          <w:kern w:val="0"/>
          <w:highlight w:val="none"/>
        </w:rPr>
        <w:t xml:space="preserve">  此致  </w:t>
      </w:r>
    </w:p>
    <w:p>
      <w:pPr>
        <w:spacing w:line="578" w:lineRule="exact"/>
        <w:jc w:val="left"/>
        <w:rPr>
          <w:rFonts w:ascii="仿宋_GB2312" w:hAnsi="仿宋_GB2312" w:eastAsia="仿宋_GB2312" w:cs="仿宋_GB2312"/>
          <w:color w:val="auto"/>
          <w:kern w:val="0"/>
          <w:highlight w:val="none"/>
        </w:rPr>
      </w:pPr>
    </w:p>
    <w:p>
      <w:pPr>
        <w:spacing w:line="578" w:lineRule="exact"/>
        <w:jc w:val="right"/>
        <w:rPr>
          <w:rFonts w:ascii="仿宋_GB2312" w:hAnsi="仿宋_GB2312" w:eastAsia="仿宋_GB2312" w:cs="仿宋_GB2312"/>
          <w:color w:val="auto"/>
          <w:kern w:val="0"/>
          <w:highlight w:val="none"/>
        </w:rPr>
      </w:pPr>
      <w:r>
        <w:rPr>
          <w:rFonts w:hint="eastAsia" w:ascii="仿宋_GB2312" w:hAnsi="仿宋_GB2312" w:eastAsia="仿宋_GB2312" w:cs="仿宋_GB2312"/>
          <w:color w:val="auto"/>
          <w:kern w:val="0"/>
          <w:highlight w:val="none"/>
        </w:rPr>
        <w:t xml:space="preserve">                                    </w:t>
      </w:r>
    </w:p>
    <w:p>
      <w:pPr>
        <w:spacing w:line="578" w:lineRule="exact"/>
        <w:jc w:val="right"/>
        <w:rPr>
          <w:rFonts w:ascii="仿宋_GB2312" w:hAnsi="仿宋_GB2312" w:eastAsia="仿宋_GB2312" w:cs="仿宋_GB2312"/>
          <w:color w:val="auto"/>
          <w:kern w:val="0"/>
          <w:highlight w:val="none"/>
        </w:rPr>
      </w:pPr>
      <w:r>
        <w:rPr>
          <w:rFonts w:hint="eastAsia" w:ascii="仿宋_GB2312" w:hAnsi="仿宋_GB2312" w:eastAsia="仿宋_GB2312" w:cs="仿宋_GB2312"/>
          <w:color w:val="auto"/>
          <w:kern w:val="0"/>
          <w:highlight w:val="none"/>
        </w:rPr>
        <w:t>公司名称：XXXXXXXX（公章）</w:t>
      </w:r>
    </w:p>
    <w:p>
      <w:pPr>
        <w:spacing w:line="578" w:lineRule="exact"/>
        <w:jc w:val="left"/>
        <w:rPr>
          <w:rFonts w:ascii="仿宋_GB2312" w:hAnsi="仿宋_GB2312" w:eastAsia="仿宋_GB2312" w:cs="仿宋_GB2312"/>
          <w:color w:val="auto"/>
          <w:kern w:val="0"/>
          <w:highlight w:val="none"/>
        </w:rPr>
      </w:pPr>
      <w:r>
        <w:rPr>
          <w:rFonts w:hint="eastAsia" w:ascii="仿宋_GB2312" w:hAnsi="仿宋_GB2312" w:eastAsia="仿宋_GB2312" w:cs="仿宋_GB2312"/>
          <w:color w:val="auto"/>
          <w:kern w:val="0"/>
          <w:highlight w:val="none"/>
        </w:rPr>
        <w:t xml:space="preserve">                                    XX年 XX月XX日</w:t>
      </w:r>
    </w:p>
    <w:p>
      <w:pPr>
        <w:spacing w:line="578" w:lineRule="exact"/>
        <w:jc w:val="left"/>
        <w:rPr>
          <w:rFonts w:ascii="仿宋_GB2312" w:hAnsi="仿宋_GB2312" w:eastAsia="仿宋_GB2312" w:cs="仿宋_GB2312"/>
          <w:b/>
          <w:color w:val="auto"/>
          <w:kern w:val="0"/>
          <w:highlight w:val="none"/>
        </w:rPr>
      </w:pPr>
    </w:p>
    <w:p>
      <w:pPr>
        <w:spacing w:line="578" w:lineRule="exact"/>
        <w:jc w:val="left"/>
        <w:rPr>
          <w:rFonts w:ascii="仿宋_GB2312" w:hAnsi="仿宋_GB2312" w:eastAsia="仿宋_GB2312" w:cs="仿宋_GB2312"/>
          <w:b/>
          <w:color w:val="auto"/>
          <w:kern w:val="0"/>
          <w:highlight w:val="none"/>
        </w:rPr>
      </w:pPr>
    </w:p>
    <w:p>
      <w:pPr>
        <w:spacing w:line="578" w:lineRule="exact"/>
        <w:jc w:val="left"/>
        <w:rPr>
          <w:rFonts w:ascii="仿宋_GB2312" w:hAnsi="仿宋_GB2312" w:eastAsia="仿宋_GB2312" w:cs="仿宋_GB2312"/>
          <w:b/>
          <w:color w:val="auto"/>
          <w:kern w:val="0"/>
          <w:highlight w:val="none"/>
        </w:rPr>
      </w:pPr>
      <w:r>
        <w:rPr>
          <w:rFonts w:hint="eastAsia" w:ascii="仿宋_GB2312" w:hAnsi="仿宋_GB2312" w:eastAsia="仿宋_GB2312" w:cs="仿宋_GB2312"/>
          <w:b/>
          <w:color w:val="auto"/>
          <w:kern w:val="0"/>
          <w:highlight w:val="none"/>
        </w:rPr>
        <w:t>注：附经办人身份证复印件，加盖公章。</w:t>
      </w:r>
    </w:p>
    <w:p>
      <w:pPr>
        <w:pStyle w:val="4"/>
        <w:rPr>
          <w:color w:val="auto"/>
          <w:highlight w:val="none"/>
        </w:rPr>
      </w:pPr>
    </w:p>
    <w:sectPr>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swiss"/>
    <w:pitch w:val="default"/>
    <w:sig w:usb0="00007A87" w:usb1="80000000" w:usb2="00000008" w:usb3="00000000" w:csb0="400001FF" w:csb1="FFFF0000"/>
  </w:font>
  <w:font w:name="宋体">
    <w:altName w:val="方正书宋_GBK"/>
    <w:panose1 w:val="02010600030101010101"/>
    <w:charset w:val="50"/>
    <w:family w:val="auto"/>
    <w:pitch w:val="default"/>
    <w:sig w:usb0="00000000" w:usb1="0000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00000001" w:usb1="080E0000" w:usb2="00000000" w:usb3="00000000" w:csb0="00040000"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DejaVu Sans">
    <w:panose1 w:val="020B0603030804020204"/>
    <w:charset w:val="00"/>
    <w:family w:val="auto"/>
    <w:pitch w:val="default"/>
    <w:sig w:usb0="E7006EFF" w:usb1="D200FDFF" w:usb2="0A246029" w:usb3="0400200C" w:csb0="600001FF" w:csb1="DFFF0000"/>
  </w:font>
  <w:font w:name="方正书宋_GBK">
    <w:panose1 w:val="02000000000000000000"/>
    <w:charset w:val="86"/>
    <w:family w:val="auto"/>
    <w:pitch w:val="default"/>
    <w:sig w:usb0="00000001" w:usb1="08000000" w:usb2="00000000" w:usb3="00000000" w:csb0="00040000" w:csb1="00000000"/>
  </w:font>
  <w:font w:name="Cambria">
    <w:altName w:val="Noto Sans Syriac Eastern"/>
    <w:panose1 w:val="02040503050406030204"/>
    <w:charset w:val="00"/>
    <w:family w:val="roman"/>
    <w:pitch w:val="default"/>
    <w:sig w:usb0="00000000" w:usb1="00000000" w:usb2="02000000" w:usb3="00000000" w:csb0="2000019F" w:csb1="00000000"/>
  </w:font>
  <w:font w:name="Noto Sans Syriac Eastern">
    <w:panose1 w:val="02040503050306020203"/>
    <w:charset w:val="86"/>
    <w:family w:val="auto"/>
    <w:pitch w:val="default"/>
    <w:sig w:usb0="00000000" w:usb1="00000000" w:usb2="00000080" w:usb3="00000000" w:csb0="203E0161" w:csb1="D7FF0000"/>
  </w:font>
  <w:font w:name="仿宋_GB2312">
    <w:panose1 w:val="02010609030101010101"/>
    <w:charset w:val="86"/>
    <w:family w:val="modern"/>
    <w:pitch w:val="default"/>
    <w:sig w:usb0="00000001" w:usb1="080E0000" w:usb2="00000000" w:usb3="00000000" w:csb0="00040000" w:csb1="00000000"/>
  </w:font>
  <w:font w:name="方正小标宋简体">
    <w:panose1 w:val="02000000000000000000"/>
    <w:charset w:val="86"/>
    <w:family w:val="auto"/>
    <w:pitch w:val="default"/>
    <w:sig w:usb0="A00002BF" w:usb1="184F6CFA" w:usb2="00000012" w:usb3="00000000" w:csb0="00040001" w:csb1="00000000"/>
  </w:font>
  <w:font w:name="方正仿宋_GBK">
    <w:panose1 w:val="02000000000000000000"/>
    <w:charset w:val="86"/>
    <w:family w:val="auto"/>
    <w:pitch w:val="default"/>
    <w:sig w:usb0="00000001" w:usb1="08000000" w:usb2="00000000" w:usb3="00000000" w:csb0="00040000" w:csb1="00000000"/>
  </w:font>
  <w:font w:name="文泉驿微米黑">
    <w:panose1 w:val="020B0606030804020204"/>
    <w:charset w:val="86"/>
    <w:family w:val="auto"/>
    <w:pitch w:val="default"/>
    <w:sig w:usb0="E10002EF" w:usb1="6BDFFCFB" w:usb2="00800036" w:usb3="00000000" w:csb0="603E01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">
              <v:fill on="f" focussize="0,0"/>
              <v:stroke on="f" weight="0.5pt"/>
              <v:imagedata o:title=""/>
              <o:lock v:ext="edit" aspectratio="f"/>
              <v:textbox inset="0mm,0mm,0mm,0mm" style="mso-fit-shape-to-text:t;">
                <w:txbxContent>
                  <w:p>
                    <w:pPr>
                      <w:pStyle w:val="6"/>
                    </w:pPr>
                    <w:r>
                      <w:fldChar w:fldCharType="begin"/>
                    </w:r>
                    <w:r>
                      <w:instrText xml:space="preserve"> PAGE  \* MERGEFORMAT </w:instrText>
                    </w:r>
                    <w:r>
                      <w:fldChar w:fldCharType="separate"/>
                    </w:r>
                    <w:r>
                      <w:t>1</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FFFE34A"/>
    <w:multiLevelType w:val="singleLevel"/>
    <w:tmpl w:val="EFFFE34A"/>
    <w:lvl w:ilvl="0" w:tentative="0">
      <w:start w:val="3"/>
      <w:numFmt w:val="chineseCounting"/>
      <w:suff w:val="nothing"/>
      <w:lvlText w:val="%1、"/>
      <w:lvlJc w:val="left"/>
      <w:rPr>
        <w:rFonts w:hint="eastAsia"/>
      </w:rPr>
    </w:lvl>
  </w:abstractNum>
  <w:abstractNum w:abstractNumId="1">
    <w:nsid w:val="044E7135"/>
    <w:multiLevelType w:val="singleLevel"/>
    <w:tmpl w:val="044E7135"/>
    <w:lvl w:ilvl="0" w:tentative="0">
      <w:start w:val="2"/>
      <w:numFmt w:val="decimal"/>
      <w:suff w:val="nothing"/>
      <w:lvlText w:val="（%1）"/>
      <w:lvlJc w:val="left"/>
    </w:lvl>
  </w:abstractNum>
  <w:abstractNum w:abstractNumId="2">
    <w:nsid w:val="59C07086"/>
    <w:multiLevelType w:val="singleLevel"/>
    <w:tmpl w:val="59C07086"/>
    <w:lvl w:ilvl="0" w:tentative="0">
      <w:start w:val="1"/>
      <w:numFmt w:val="decimal"/>
      <w:suff w:val="nothing"/>
      <w:lvlText w:val="%1、"/>
      <w:lvlJc w:val="left"/>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mEwNDM0YWQyZTA2MzYzMDljNTI1ZjMyOWQ3MTNkMzAifQ=="/>
  </w:docVars>
  <w:rsids>
    <w:rsidRoot w:val="3D9F65F1"/>
    <w:rsid w:val="000513F7"/>
    <w:rsid w:val="0083566A"/>
    <w:rsid w:val="008D7847"/>
    <w:rsid w:val="00BF3E5E"/>
    <w:rsid w:val="00C45283"/>
    <w:rsid w:val="012F7800"/>
    <w:rsid w:val="02331ABF"/>
    <w:rsid w:val="028D5673"/>
    <w:rsid w:val="02AE1145"/>
    <w:rsid w:val="03E47515"/>
    <w:rsid w:val="04213481"/>
    <w:rsid w:val="04AC7736"/>
    <w:rsid w:val="0526590B"/>
    <w:rsid w:val="05407E74"/>
    <w:rsid w:val="0594055C"/>
    <w:rsid w:val="06A607F6"/>
    <w:rsid w:val="07E850FA"/>
    <w:rsid w:val="084A2080"/>
    <w:rsid w:val="0AF67B8B"/>
    <w:rsid w:val="0B5965AB"/>
    <w:rsid w:val="0C5A3918"/>
    <w:rsid w:val="0E976669"/>
    <w:rsid w:val="107240FA"/>
    <w:rsid w:val="11FD7E63"/>
    <w:rsid w:val="123743A0"/>
    <w:rsid w:val="133F0D07"/>
    <w:rsid w:val="138B678C"/>
    <w:rsid w:val="13944850"/>
    <w:rsid w:val="1439793E"/>
    <w:rsid w:val="15254FBD"/>
    <w:rsid w:val="15533B0A"/>
    <w:rsid w:val="15F53FE8"/>
    <w:rsid w:val="174F2A9F"/>
    <w:rsid w:val="178F4228"/>
    <w:rsid w:val="18023FB5"/>
    <w:rsid w:val="1856432E"/>
    <w:rsid w:val="190F3329"/>
    <w:rsid w:val="19DE3477"/>
    <w:rsid w:val="1A367F46"/>
    <w:rsid w:val="1AF90BC7"/>
    <w:rsid w:val="1B363FB3"/>
    <w:rsid w:val="1B37228B"/>
    <w:rsid w:val="1CE75EF8"/>
    <w:rsid w:val="1D22539B"/>
    <w:rsid w:val="1D6A233A"/>
    <w:rsid w:val="1EE6018D"/>
    <w:rsid w:val="1F334A54"/>
    <w:rsid w:val="1FE8BECB"/>
    <w:rsid w:val="20EA3839"/>
    <w:rsid w:val="214D4049"/>
    <w:rsid w:val="224805CD"/>
    <w:rsid w:val="23BC326A"/>
    <w:rsid w:val="25502AC4"/>
    <w:rsid w:val="25D725DE"/>
    <w:rsid w:val="27115D03"/>
    <w:rsid w:val="273A32A2"/>
    <w:rsid w:val="279462AC"/>
    <w:rsid w:val="283024B2"/>
    <w:rsid w:val="28F619B1"/>
    <w:rsid w:val="28FD67FF"/>
    <w:rsid w:val="295625BB"/>
    <w:rsid w:val="295F6021"/>
    <w:rsid w:val="29AC36EE"/>
    <w:rsid w:val="29D357B2"/>
    <w:rsid w:val="29E50E21"/>
    <w:rsid w:val="2A135BAE"/>
    <w:rsid w:val="2A614116"/>
    <w:rsid w:val="2D6C3F53"/>
    <w:rsid w:val="2E0028ED"/>
    <w:rsid w:val="2E84005D"/>
    <w:rsid w:val="2EF7784D"/>
    <w:rsid w:val="2F3E3F19"/>
    <w:rsid w:val="30197C97"/>
    <w:rsid w:val="301B582C"/>
    <w:rsid w:val="30742D8C"/>
    <w:rsid w:val="30DF52F2"/>
    <w:rsid w:val="30F310DC"/>
    <w:rsid w:val="30F5600E"/>
    <w:rsid w:val="31F365C1"/>
    <w:rsid w:val="331D8246"/>
    <w:rsid w:val="33CC3D88"/>
    <w:rsid w:val="33F70B12"/>
    <w:rsid w:val="342150E3"/>
    <w:rsid w:val="3434509F"/>
    <w:rsid w:val="34B11B15"/>
    <w:rsid w:val="35894FBA"/>
    <w:rsid w:val="376DE2DB"/>
    <w:rsid w:val="37BFF24F"/>
    <w:rsid w:val="39AC56D7"/>
    <w:rsid w:val="39CE564E"/>
    <w:rsid w:val="39EB00BB"/>
    <w:rsid w:val="3BBD597A"/>
    <w:rsid w:val="3BF07939"/>
    <w:rsid w:val="3BFA7034"/>
    <w:rsid w:val="3BFD3F4B"/>
    <w:rsid w:val="3C863A41"/>
    <w:rsid w:val="3D5F91FB"/>
    <w:rsid w:val="3D9B45A7"/>
    <w:rsid w:val="3D9F65F1"/>
    <w:rsid w:val="3DDF607B"/>
    <w:rsid w:val="3DF65F7A"/>
    <w:rsid w:val="3EB776E8"/>
    <w:rsid w:val="3F6A5987"/>
    <w:rsid w:val="3FC56352"/>
    <w:rsid w:val="3FEF1824"/>
    <w:rsid w:val="40271093"/>
    <w:rsid w:val="40490124"/>
    <w:rsid w:val="43FC1905"/>
    <w:rsid w:val="442D75CF"/>
    <w:rsid w:val="45D434C6"/>
    <w:rsid w:val="46BB3C92"/>
    <w:rsid w:val="47C562E2"/>
    <w:rsid w:val="481C1C7A"/>
    <w:rsid w:val="482A1B4F"/>
    <w:rsid w:val="4894036F"/>
    <w:rsid w:val="49341F33"/>
    <w:rsid w:val="49F545DC"/>
    <w:rsid w:val="4A314423"/>
    <w:rsid w:val="4A743FEF"/>
    <w:rsid w:val="4A791606"/>
    <w:rsid w:val="4ADB2DDC"/>
    <w:rsid w:val="4B41375A"/>
    <w:rsid w:val="4B83098E"/>
    <w:rsid w:val="4C5D0DB7"/>
    <w:rsid w:val="4CD906A3"/>
    <w:rsid w:val="4CFFDDA9"/>
    <w:rsid w:val="4DF23BA9"/>
    <w:rsid w:val="4DFEC764"/>
    <w:rsid w:val="4E577EB0"/>
    <w:rsid w:val="4EBA2D91"/>
    <w:rsid w:val="4F302BDB"/>
    <w:rsid w:val="50967978"/>
    <w:rsid w:val="512C2F2E"/>
    <w:rsid w:val="51DE4BDE"/>
    <w:rsid w:val="548B5741"/>
    <w:rsid w:val="54C77C29"/>
    <w:rsid w:val="5978041C"/>
    <w:rsid w:val="5B8147BE"/>
    <w:rsid w:val="5BC86C25"/>
    <w:rsid w:val="5C5B7BF6"/>
    <w:rsid w:val="5CD72D5D"/>
    <w:rsid w:val="5D275124"/>
    <w:rsid w:val="5D3055C1"/>
    <w:rsid w:val="5D417D61"/>
    <w:rsid w:val="5D453414"/>
    <w:rsid w:val="5D733341"/>
    <w:rsid w:val="5DB81151"/>
    <w:rsid w:val="5E27568D"/>
    <w:rsid w:val="5EF6BB89"/>
    <w:rsid w:val="5F0C0844"/>
    <w:rsid w:val="5F5FF0C3"/>
    <w:rsid w:val="5FEE6454"/>
    <w:rsid w:val="5FF17DEE"/>
    <w:rsid w:val="5FFE6832"/>
    <w:rsid w:val="60465003"/>
    <w:rsid w:val="60716BAF"/>
    <w:rsid w:val="61190980"/>
    <w:rsid w:val="62A212A2"/>
    <w:rsid w:val="64B734BA"/>
    <w:rsid w:val="656F4BCB"/>
    <w:rsid w:val="65EFF780"/>
    <w:rsid w:val="664C3A75"/>
    <w:rsid w:val="67024A05"/>
    <w:rsid w:val="671644B9"/>
    <w:rsid w:val="678C2521"/>
    <w:rsid w:val="68BF65E6"/>
    <w:rsid w:val="68EF5F75"/>
    <w:rsid w:val="690B0DF4"/>
    <w:rsid w:val="69156FF4"/>
    <w:rsid w:val="699E3A55"/>
    <w:rsid w:val="6A2922A9"/>
    <w:rsid w:val="6B100000"/>
    <w:rsid w:val="6B4F21E3"/>
    <w:rsid w:val="6BEE522A"/>
    <w:rsid w:val="6C133210"/>
    <w:rsid w:val="6CAF5537"/>
    <w:rsid w:val="6D14701B"/>
    <w:rsid w:val="6D2A6B19"/>
    <w:rsid w:val="6DEE1D9D"/>
    <w:rsid w:val="6E001573"/>
    <w:rsid w:val="6E7F2145"/>
    <w:rsid w:val="6F4418A4"/>
    <w:rsid w:val="6FEFCFCD"/>
    <w:rsid w:val="70221706"/>
    <w:rsid w:val="702A28D7"/>
    <w:rsid w:val="71645595"/>
    <w:rsid w:val="739B5145"/>
    <w:rsid w:val="739C3F3B"/>
    <w:rsid w:val="752F8087"/>
    <w:rsid w:val="75722BFB"/>
    <w:rsid w:val="75C33811"/>
    <w:rsid w:val="75C602D8"/>
    <w:rsid w:val="76B4739E"/>
    <w:rsid w:val="76DF0599"/>
    <w:rsid w:val="776F49A8"/>
    <w:rsid w:val="77A94A29"/>
    <w:rsid w:val="77E722F1"/>
    <w:rsid w:val="78F7F113"/>
    <w:rsid w:val="7A587B47"/>
    <w:rsid w:val="7ACA6934"/>
    <w:rsid w:val="7AEAF576"/>
    <w:rsid w:val="7C354ADD"/>
    <w:rsid w:val="7CCA3081"/>
    <w:rsid w:val="7CD83E81"/>
    <w:rsid w:val="7CF740E4"/>
    <w:rsid w:val="7D4C3183"/>
    <w:rsid w:val="7D6C155D"/>
    <w:rsid w:val="7DEFE447"/>
    <w:rsid w:val="7DFF2439"/>
    <w:rsid w:val="7E7B77C7"/>
    <w:rsid w:val="7EB6353F"/>
    <w:rsid w:val="7EC00FD6"/>
    <w:rsid w:val="7EDDCA4D"/>
    <w:rsid w:val="7F12031F"/>
    <w:rsid w:val="7F1C3A35"/>
    <w:rsid w:val="7F2826D7"/>
    <w:rsid w:val="7F6D458E"/>
    <w:rsid w:val="7F7F2DBF"/>
    <w:rsid w:val="7FDF155C"/>
    <w:rsid w:val="7FDFB7A8"/>
    <w:rsid w:val="7FF927C9"/>
    <w:rsid w:val="7FFEBC5E"/>
    <w:rsid w:val="9CE36CF2"/>
    <w:rsid w:val="9FFFFDA4"/>
    <w:rsid w:val="ADF3BB64"/>
    <w:rsid w:val="ADFB4748"/>
    <w:rsid w:val="AFBF2767"/>
    <w:rsid w:val="AFDE0DB1"/>
    <w:rsid w:val="B5BF6BD3"/>
    <w:rsid w:val="BD2F1CA9"/>
    <w:rsid w:val="BD8B2D10"/>
    <w:rsid w:val="BFEFB8F0"/>
    <w:rsid w:val="BFF94E2F"/>
    <w:rsid w:val="CDFF9B0D"/>
    <w:rsid w:val="CFFB259B"/>
    <w:rsid w:val="D77781D3"/>
    <w:rsid w:val="DFFBCA54"/>
    <w:rsid w:val="E7FBE595"/>
    <w:rsid w:val="EF7A1123"/>
    <w:rsid w:val="EFE708C7"/>
    <w:rsid w:val="EFFFD81C"/>
    <w:rsid w:val="F31F74ED"/>
    <w:rsid w:val="F6FFF377"/>
    <w:rsid w:val="F70739C1"/>
    <w:rsid w:val="F75FCDFA"/>
    <w:rsid w:val="FB4A94FB"/>
    <w:rsid w:val="FB6B9E37"/>
    <w:rsid w:val="FBC3EF6D"/>
    <w:rsid w:val="FC2E6324"/>
    <w:rsid w:val="FC3DF7CD"/>
    <w:rsid w:val="FEA114BD"/>
    <w:rsid w:val="FEDF9769"/>
    <w:rsid w:val="FF5F835F"/>
    <w:rsid w:val="FFFFE2C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iPriority="0" w:name="Table Grid"/>
    <w:lsdException w:uiPriority="0"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宋体" w:hAnsi="宋体" w:eastAsia="宋体" w:cs="Times New Roman"/>
      <w:kern w:val="2"/>
      <w:sz w:val="32"/>
      <w:szCs w:val="32"/>
      <w:lang w:val="en-US" w:eastAsia="zh-CN" w:bidi="ar-SA"/>
    </w:rPr>
  </w:style>
  <w:style w:type="paragraph" w:styleId="2">
    <w:name w:val="heading 2"/>
    <w:basedOn w:val="1"/>
    <w:next w:val="1"/>
    <w:qFormat/>
    <w:uiPriority w:val="0"/>
    <w:pPr>
      <w:keepNext/>
      <w:keepLines/>
      <w:spacing w:before="260" w:after="260" w:line="416" w:lineRule="auto"/>
      <w:outlineLvl w:val="1"/>
    </w:pPr>
    <w:rPr>
      <w:rFonts w:ascii="Arial" w:hAnsi="Arial" w:eastAsia="黑体"/>
      <w:b/>
      <w:bCs/>
    </w:rPr>
  </w:style>
  <w:style w:type="character" w:default="1" w:styleId="12">
    <w:name w:val="Default Paragraph Font"/>
    <w:semiHidden/>
    <w:unhideWhenUsed/>
    <w:qFormat/>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styleId="3">
    <w:name w:val="annotation text"/>
    <w:basedOn w:val="1"/>
    <w:qFormat/>
    <w:uiPriority w:val="0"/>
    <w:pPr>
      <w:jc w:val="left"/>
    </w:pPr>
  </w:style>
  <w:style w:type="paragraph" w:styleId="4">
    <w:name w:val="Body Text"/>
    <w:basedOn w:val="1"/>
    <w:qFormat/>
    <w:uiPriority w:val="1"/>
    <w:pPr>
      <w:spacing w:after="120"/>
    </w:pPr>
    <w:rPr>
      <w:rFonts w:ascii="Times New Roman" w:hAnsi="Times New Roman"/>
      <w:sz w:val="21"/>
      <w:szCs w:val="24"/>
    </w:rPr>
  </w:style>
  <w:style w:type="paragraph" w:styleId="5">
    <w:name w:val="Balloon Text"/>
    <w:basedOn w:val="1"/>
    <w:qFormat/>
    <w:uiPriority w:val="0"/>
    <w:rPr>
      <w:rFonts w:ascii="Times New Roman" w:hAnsi="Times New Roman"/>
      <w:sz w:val="18"/>
      <w:szCs w:val="18"/>
    </w:rPr>
  </w:style>
  <w:style w:type="paragraph" w:styleId="6">
    <w:name w:val="footer"/>
    <w:basedOn w:val="1"/>
    <w:link w:val="19"/>
    <w:qFormat/>
    <w:uiPriority w:val="99"/>
    <w:pPr>
      <w:tabs>
        <w:tab w:val="center" w:pos="4153"/>
        <w:tab w:val="right" w:pos="8306"/>
      </w:tabs>
      <w:snapToGrid w:val="0"/>
      <w:jc w:val="left"/>
    </w:pPr>
    <w:rPr>
      <w:sz w:val="18"/>
      <w:szCs w:val="18"/>
    </w:rPr>
  </w:style>
  <w:style w:type="paragraph" w:styleId="7">
    <w:name w:val="header"/>
    <w:basedOn w:val="1"/>
    <w:link w:val="18"/>
    <w:qFormat/>
    <w:uiPriority w:val="0"/>
    <w:pPr>
      <w:pBdr>
        <w:bottom w:val="single" w:color="auto" w:sz="6" w:space="1"/>
      </w:pBdr>
      <w:tabs>
        <w:tab w:val="center" w:pos="4153"/>
        <w:tab w:val="right" w:pos="8306"/>
      </w:tabs>
      <w:snapToGrid w:val="0"/>
      <w:jc w:val="center"/>
    </w:pPr>
    <w:rPr>
      <w:sz w:val="18"/>
      <w:szCs w:val="18"/>
    </w:rPr>
  </w:style>
  <w:style w:type="paragraph" w:styleId="8">
    <w:name w:val="toc 1"/>
    <w:basedOn w:val="1"/>
    <w:next w:val="1"/>
    <w:qFormat/>
    <w:uiPriority w:val="0"/>
    <w:rPr>
      <w:rFonts w:ascii="Times New Roman" w:hAnsi="Times New Roman"/>
      <w:sz w:val="21"/>
      <w:szCs w:val="24"/>
    </w:rPr>
  </w:style>
  <w:style w:type="paragraph" w:styleId="9">
    <w:name w:val="Normal (Web)"/>
    <w:basedOn w:val="1"/>
    <w:qFormat/>
    <w:uiPriority w:val="99"/>
    <w:pPr>
      <w:widowControl/>
      <w:spacing w:before="100" w:beforeAutospacing="1" w:after="100" w:afterAutospacing="1"/>
      <w:jc w:val="left"/>
    </w:pPr>
    <w:rPr>
      <w:kern w:val="0"/>
      <w:sz w:val="18"/>
      <w:szCs w:val="18"/>
    </w:rPr>
  </w:style>
  <w:style w:type="paragraph" w:styleId="10">
    <w:name w:val="Title"/>
    <w:basedOn w:val="1"/>
    <w:next w:val="1"/>
    <w:qFormat/>
    <w:uiPriority w:val="0"/>
    <w:pPr>
      <w:spacing w:before="240" w:after="60"/>
      <w:jc w:val="center"/>
      <w:outlineLvl w:val="0"/>
    </w:pPr>
    <w:rPr>
      <w:rFonts w:ascii="Cambria" w:hAnsi="Cambria"/>
      <w:b/>
      <w:bCs/>
    </w:rPr>
  </w:style>
  <w:style w:type="paragraph" w:customStyle="1" w:styleId="13">
    <w:name w:val="正文1"/>
    <w:qFormat/>
    <w:uiPriority w:val="0"/>
    <w:pPr>
      <w:widowControl w:val="0"/>
      <w:adjustRightInd w:val="0"/>
      <w:spacing w:line="312" w:lineRule="atLeast"/>
      <w:jc w:val="both"/>
      <w:textAlignment w:val="baseline"/>
    </w:pPr>
    <w:rPr>
      <w:rFonts w:ascii="宋体" w:hAnsi="Times New Roman" w:eastAsia="宋体" w:cs="Times New Roman"/>
      <w:sz w:val="34"/>
      <w:lang w:val="en-US" w:eastAsia="zh-CN" w:bidi="ar-SA"/>
    </w:rPr>
  </w:style>
  <w:style w:type="paragraph" w:styleId="14">
    <w:name w:val="No Spacing"/>
    <w:qFormat/>
    <w:uiPriority w:val="1"/>
    <w:pPr>
      <w:widowControl w:val="0"/>
      <w:spacing w:line="480" w:lineRule="exact"/>
      <w:jc w:val="both"/>
    </w:pPr>
    <w:rPr>
      <w:rFonts w:ascii="Times New Roman" w:hAnsi="Times New Roman" w:eastAsia="宋体" w:cs="Times New Roman"/>
      <w:kern w:val="2"/>
      <w:sz w:val="21"/>
      <w:szCs w:val="24"/>
      <w:lang w:val="en-US" w:eastAsia="zh-CN" w:bidi="ar-SA"/>
    </w:rPr>
  </w:style>
  <w:style w:type="paragraph" w:customStyle="1" w:styleId="15">
    <w:name w:val="正文11"/>
    <w:qFormat/>
    <w:uiPriority w:val="0"/>
    <w:pPr>
      <w:widowControl w:val="0"/>
      <w:adjustRightInd w:val="0"/>
      <w:spacing w:line="312" w:lineRule="atLeast"/>
      <w:jc w:val="both"/>
    </w:pPr>
    <w:rPr>
      <w:rFonts w:ascii="宋体" w:hAnsi="Times New Roman" w:eastAsia="宋体" w:cs="Times New Roman"/>
      <w:sz w:val="34"/>
      <w:lang w:val="en-US" w:eastAsia="zh-CN" w:bidi="ar-SA"/>
    </w:rPr>
  </w:style>
  <w:style w:type="paragraph" w:customStyle="1" w:styleId="16">
    <w:name w:val="_正文段落"/>
    <w:basedOn w:val="1"/>
    <w:qFormat/>
    <w:uiPriority w:val="0"/>
    <w:pPr>
      <w:spacing w:beforeLines="15" w:afterLines="15" w:line="360" w:lineRule="auto"/>
      <w:ind w:firstLine="200" w:firstLineChars="200"/>
    </w:pPr>
    <w:rPr>
      <w:rFonts w:hAnsi="Times New Roman" w:eastAsia="仿宋_GB2312"/>
      <w:kern w:val="0"/>
      <w:sz w:val="28"/>
      <w:szCs w:val="24"/>
    </w:rPr>
  </w:style>
  <w:style w:type="paragraph" w:customStyle="1" w:styleId="17">
    <w:name w:val="样式 首行缩进:  2 字符"/>
    <w:basedOn w:val="1"/>
    <w:qFormat/>
    <w:uiPriority w:val="0"/>
    <w:pPr>
      <w:spacing w:line="400" w:lineRule="exact"/>
      <w:ind w:firstLine="200" w:firstLineChars="200"/>
    </w:pPr>
    <w:rPr>
      <w:rFonts w:ascii="Times New Roman" w:hAnsi="Times New Roman" w:cs="宋体"/>
      <w:sz w:val="24"/>
      <w:szCs w:val="24"/>
    </w:rPr>
  </w:style>
  <w:style w:type="character" w:customStyle="1" w:styleId="18">
    <w:name w:val="页眉 字符"/>
    <w:basedOn w:val="12"/>
    <w:link w:val="7"/>
    <w:qFormat/>
    <w:uiPriority w:val="0"/>
    <w:rPr>
      <w:rFonts w:ascii="宋体" w:hAnsi="宋体" w:eastAsia="宋体" w:cs="Times New Roman"/>
      <w:kern w:val="2"/>
      <w:sz w:val="18"/>
      <w:szCs w:val="18"/>
    </w:rPr>
  </w:style>
  <w:style w:type="character" w:customStyle="1" w:styleId="19">
    <w:name w:val="页脚 字符"/>
    <w:basedOn w:val="12"/>
    <w:link w:val="6"/>
    <w:qFormat/>
    <w:uiPriority w:val="99"/>
    <w:rPr>
      <w:rFonts w:ascii="宋体" w:hAnsi="宋体" w:eastAsia="宋体" w:cs="Times New Roman"/>
      <w:kern w:val="2"/>
      <w:sz w:val="18"/>
      <w:szCs w:val="18"/>
    </w:rPr>
  </w:style>
  <w:style w:type="paragraph" w:customStyle="1" w:styleId="20">
    <w:name w:val="样式"/>
    <w:qFormat/>
    <w:uiPriority w:val="0"/>
    <w:pPr>
      <w:widowControl w:val="0"/>
      <w:autoSpaceDE w:val="0"/>
      <w:autoSpaceDN w:val="0"/>
      <w:adjustRightInd w:val="0"/>
    </w:pPr>
    <w:rPr>
      <w:rFonts w:ascii="宋体" w:hAnsi="宋体" w:eastAsia="宋体" w:cs="宋体"/>
      <w:kern w:val="0"/>
      <w:sz w:val="24"/>
      <w:szCs w:val="24"/>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61</Pages>
  <Words>20928</Words>
  <Characters>21858</Characters>
  <Lines>170</Lines>
  <Paragraphs>48</Paragraphs>
  <TotalTime>1</TotalTime>
  <ScaleCrop>false</ScaleCrop>
  <LinksUpToDate>false</LinksUpToDate>
  <CharactersWithSpaces>22792</CharactersWithSpaces>
  <Application>WPS Office_11.8.2.1119_F1E327BC-269C-435d-A152-05C5408002CA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2023-12-18T10:38:00Z</dcterms:created>
  <dc:creator>杨雅迪</dc:creator>
  <cp:lastModifiedBy>TZGS44</cp:lastModifiedBy>
  <dcterms:modified xsi:type="dcterms:W3CDTF">2024-10-14T17:09:42Z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2052-11.8.2.1119</vt:lpwstr>
  </property>
  <property fmtid="{D5CDD505-2E9C-101B-9397-08002B2CF9AE}" pid="3" name="ICV">
    <vt:lpwstr>4BB8F550B5F24F31AADC9209992254A2_13</vt:lpwstr>
  </property>
</Properties>
</file>